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2B3C" w14:textId="2C4558CC" w:rsidR="00F44E47" w:rsidRDefault="00300346" w:rsidP="00F44E47">
      <w:pPr>
        <w:spacing w:before="0" w:after="0"/>
        <w:rPr>
          <w:rFonts w:ascii="Arial" w:eastAsia="Times New Roman" w:hAnsi="Arial" w:cs="Arial"/>
          <w:b/>
          <w:color w:val="ED7D31"/>
          <w:sz w:val="28"/>
          <w:szCs w:val="22"/>
          <w:lang w:eastAsia="en-GB"/>
        </w:rPr>
      </w:pPr>
      <w:r w:rsidRPr="002470F4">
        <w:rPr>
          <w:rFonts w:ascii="Arial" w:eastAsia="Times New Roman" w:hAnsi="Arial" w:cs="Arial"/>
          <w:b/>
          <w:color w:val="ED7D31"/>
          <w:sz w:val="28"/>
          <w:szCs w:val="22"/>
          <w:lang w:eastAsia="en-GB"/>
        </w:rPr>
        <w:t xml:space="preserve">GPEDC </w:t>
      </w:r>
      <w:r w:rsidR="00F44E47" w:rsidRPr="002470F4">
        <w:rPr>
          <w:rFonts w:ascii="Arial" w:eastAsia="Times New Roman" w:hAnsi="Arial" w:cs="Arial"/>
          <w:b/>
          <w:color w:val="ED7D31"/>
          <w:sz w:val="28"/>
          <w:szCs w:val="22"/>
          <w:lang w:eastAsia="en-GB"/>
        </w:rPr>
        <w:t>Action Area</w:t>
      </w:r>
      <w:r w:rsidR="009978AF">
        <w:rPr>
          <w:rFonts w:ascii="Arial" w:eastAsia="Times New Roman" w:hAnsi="Arial" w:cs="Arial"/>
          <w:b/>
          <w:color w:val="ED7D31"/>
          <w:sz w:val="28"/>
          <w:szCs w:val="22"/>
          <w:lang w:eastAsia="en-GB"/>
        </w:rPr>
        <w:t xml:space="preserve"> 2.2 – </w:t>
      </w:r>
      <w:r w:rsidR="00F44E47" w:rsidRPr="002470F4">
        <w:rPr>
          <w:rFonts w:ascii="Arial" w:eastAsia="Times New Roman" w:hAnsi="Arial" w:cs="Arial"/>
          <w:b/>
          <w:color w:val="ED7D31"/>
          <w:sz w:val="28"/>
          <w:szCs w:val="22"/>
          <w:lang w:eastAsia="en-GB"/>
        </w:rPr>
        <w:t xml:space="preserve">Effective Triangular Co-operation for Sustainable Development </w:t>
      </w:r>
    </w:p>
    <w:p w14:paraId="38AAA083" w14:textId="23159862" w:rsidR="002470F4" w:rsidRPr="002470F4" w:rsidRDefault="00AF134E" w:rsidP="00F44E47">
      <w:pPr>
        <w:spacing w:before="0" w:after="0"/>
        <w:rPr>
          <w:rFonts w:ascii="Arial" w:eastAsia="Times New Roman" w:hAnsi="Arial" w:cs="Arial"/>
          <w:i/>
          <w:color w:val="ED7D31"/>
          <w:sz w:val="28"/>
          <w:szCs w:val="22"/>
          <w:lang w:eastAsia="en-GB"/>
        </w:rPr>
      </w:pPr>
      <w:r>
        <w:rPr>
          <w:rFonts w:ascii="Arial" w:eastAsia="Times New Roman" w:hAnsi="Arial" w:cs="Arial"/>
          <w:i/>
          <w:color w:val="ED7D31"/>
          <w:sz w:val="28"/>
          <w:szCs w:val="22"/>
          <w:lang w:eastAsia="en-GB"/>
        </w:rPr>
        <w:t>Project Proposal (As of July 20</w:t>
      </w:r>
      <w:r w:rsidR="002470F4" w:rsidRPr="002470F4">
        <w:rPr>
          <w:rFonts w:ascii="Arial" w:eastAsia="Times New Roman" w:hAnsi="Arial" w:cs="Arial"/>
          <w:i/>
          <w:color w:val="ED7D31"/>
          <w:sz w:val="28"/>
          <w:szCs w:val="22"/>
          <w:vertAlign w:val="superscript"/>
          <w:lang w:eastAsia="en-GB"/>
        </w:rPr>
        <w:t>th</w:t>
      </w:r>
      <w:r w:rsidR="002470F4" w:rsidRPr="002470F4">
        <w:rPr>
          <w:rFonts w:ascii="Arial" w:eastAsia="Times New Roman" w:hAnsi="Arial" w:cs="Arial"/>
          <w:i/>
          <w:color w:val="ED7D31"/>
          <w:sz w:val="28"/>
          <w:szCs w:val="22"/>
          <w:lang w:eastAsia="en-GB"/>
        </w:rPr>
        <w:t>, 2020)</w:t>
      </w:r>
    </w:p>
    <w:p w14:paraId="73577955" w14:textId="77777777" w:rsidR="00F44E47" w:rsidRPr="002470F4" w:rsidRDefault="00F44E47" w:rsidP="00F44E47">
      <w:pPr>
        <w:spacing w:before="0" w:after="0"/>
        <w:rPr>
          <w:rFonts w:ascii="Arial" w:eastAsia="Times New Roman" w:hAnsi="Arial" w:cs="Arial"/>
          <w:i/>
          <w:color w:val="ED7D31"/>
          <w:szCs w:val="22"/>
          <w:lang w:eastAsia="en-GB"/>
        </w:rPr>
      </w:pPr>
    </w:p>
    <w:p w14:paraId="2E1A3407" w14:textId="77777777" w:rsidR="002470F4" w:rsidRDefault="002470F4" w:rsidP="00F44E47">
      <w:pPr>
        <w:spacing w:before="0" w:after="0"/>
        <w:rPr>
          <w:rFonts w:eastAsia="Times New Roman" w:cs="Calibri Light"/>
          <w:b/>
          <w:color w:val="1F497D" w:themeColor="text2"/>
          <w:szCs w:val="22"/>
          <w:lang w:eastAsia="en-GB"/>
        </w:rPr>
      </w:pPr>
      <w:r w:rsidRPr="002470F4">
        <w:rPr>
          <w:rFonts w:eastAsia="Times New Roman" w:cs="Calibri Light"/>
          <w:b/>
          <w:i/>
          <w:color w:val="1F497D" w:themeColor="text2"/>
          <w:sz w:val="28"/>
          <w:szCs w:val="22"/>
          <w:lang w:eastAsia="en-GB"/>
        </w:rPr>
        <w:t>Context</w:t>
      </w:r>
    </w:p>
    <w:p w14:paraId="7DD6983A" w14:textId="3D4A888D" w:rsidR="00F44E47" w:rsidRDefault="00F44E47" w:rsidP="00F44E47">
      <w:pPr>
        <w:spacing w:before="0" w:after="0"/>
      </w:pPr>
      <w:r w:rsidRPr="00F136DC">
        <w:t>The adoption of</w:t>
      </w:r>
      <w:r>
        <w:t xml:space="preserve"> the 2030 Agenda represented the global community’s</w:t>
      </w:r>
      <w:r w:rsidRPr="00F136DC">
        <w:t xml:space="preserve"> collective w</w:t>
      </w:r>
      <w:r>
        <w:t>illingness t</w:t>
      </w:r>
      <w:r w:rsidRPr="00F136DC">
        <w:t>o d</w:t>
      </w:r>
      <w:r>
        <w:t>iverge from ‘business as usual’ and</w:t>
      </w:r>
      <w:r w:rsidRPr="00F136DC">
        <w:t xml:space="preserve"> forge a new path towards a more peaceful, prosperous, inclusive, resilient, and sustainable future for all.</w:t>
      </w:r>
      <w:r>
        <w:t xml:space="preserve"> In response, development co-operation modalities have evolved to include new actors, </w:t>
      </w:r>
      <w:r>
        <w:rPr>
          <w:lang w:val="en"/>
        </w:rPr>
        <w:t xml:space="preserve">tools, technologies and approaches to partnership. </w:t>
      </w:r>
      <w:r w:rsidRPr="00851C5B">
        <w:t xml:space="preserve">Contemporary triangular co-operation </w:t>
      </w:r>
      <w:r>
        <w:t xml:space="preserve">is one such modality. </w:t>
      </w:r>
    </w:p>
    <w:p w14:paraId="2C9AEE12" w14:textId="77777777" w:rsidR="00F44E47" w:rsidRDefault="00F44E47" w:rsidP="00F44E47">
      <w:pPr>
        <w:spacing w:before="0" w:after="0"/>
      </w:pPr>
    </w:p>
    <w:p w14:paraId="4EABEBE6" w14:textId="77777777" w:rsidR="00F44E47" w:rsidRDefault="00F44E47" w:rsidP="00F44E47">
      <w:pPr>
        <w:spacing w:before="0" w:after="0"/>
      </w:pPr>
      <w:r>
        <w:t xml:space="preserve">Contemporary triangular co-operation </w:t>
      </w:r>
      <w:r w:rsidRPr="00851C5B">
        <w:t xml:space="preserve">offers an adaptable and flexible approach to evolving development challenges, building on the strengths of different </w:t>
      </w:r>
      <w:r>
        <w:t>actors</w:t>
      </w:r>
      <w:r w:rsidRPr="00851C5B">
        <w:t xml:space="preserve"> to find innovative, cost-effective, and context-specific solutions. </w:t>
      </w:r>
      <w:r>
        <w:rPr>
          <w:noProof/>
          <w:lang w:eastAsia="en-CA"/>
        </w:rPr>
        <w:t>It</w:t>
      </w:r>
      <w:r w:rsidRPr="00AE0B8F">
        <w:rPr>
          <w:noProof/>
          <w:lang w:eastAsia="en-CA"/>
        </w:rPr>
        <w:t xml:space="preserve"> is a dynamic model of South-South-North co</w:t>
      </w:r>
      <w:r>
        <w:rPr>
          <w:noProof/>
          <w:lang w:eastAsia="en-CA"/>
        </w:rPr>
        <w:t>-</w:t>
      </w:r>
      <w:r w:rsidRPr="00AE0B8F">
        <w:rPr>
          <w:noProof/>
          <w:lang w:eastAsia="en-CA"/>
        </w:rPr>
        <w:t xml:space="preserve">operation </w:t>
      </w:r>
      <w:r w:rsidRPr="009600B1">
        <w:rPr>
          <w:noProof/>
          <w:lang w:eastAsia="en-CA"/>
        </w:rPr>
        <w:t>in</w:t>
      </w:r>
      <w:r w:rsidRPr="00AE0B8F">
        <w:rPr>
          <w:noProof/>
          <w:lang w:eastAsia="en-CA"/>
        </w:rPr>
        <w:t xml:space="preserve"> which three or more </w:t>
      </w:r>
      <w:r>
        <w:rPr>
          <w:noProof/>
          <w:lang w:eastAsia="en-CA"/>
        </w:rPr>
        <w:t>partners</w:t>
      </w:r>
      <w:r w:rsidRPr="00AE0B8F">
        <w:rPr>
          <w:noProof/>
          <w:lang w:eastAsia="en-CA"/>
        </w:rPr>
        <w:t xml:space="preserve"> come together to a</w:t>
      </w:r>
      <w:r>
        <w:rPr>
          <w:noProof/>
          <w:lang w:eastAsia="en-CA"/>
        </w:rPr>
        <w:t xml:space="preserve">ddress a development issue. This </w:t>
      </w:r>
      <w:r w:rsidRPr="00AE0B8F">
        <w:rPr>
          <w:noProof/>
          <w:lang w:eastAsia="en-CA"/>
        </w:rPr>
        <w:t xml:space="preserve">model broadens traditional roles to a more comprehensive and inclusive interaction between </w:t>
      </w:r>
      <w:r>
        <w:rPr>
          <w:noProof/>
          <w:lang w:eastAsia="en-CA"/>
        </w:rPr>
        <w:t>actors</w:t>
      </w:r>
      <w:r>
        <w:t>, including</w:t>
      </w:r>
      <w:r w:rsidRPr="00AE0B8F">
        <w:t xml:space="preserve"> governments to civil society, philanthropy, international organizations or the private sector</w:t>
      </w:r>
      <w:r>
        <w:t>. Contemporary triangular cooperation projects centre around three roles:</w:t>
      </w:r>
    </w:p>
    <w:p w14:paraId="3485BBB5" w14:textId="77777777" w:rsidR="00F44E47" w:rsidRPr="009600B1" w:rsidRDefault="00F44E47" w:rsidP="00F44E47">
      <w:pPr>
        <w:spacing w:before="0" w:after="0"/>
        <w:rPr>
          <w:noProof/>
          <w:lang w:eastAsia="en-CA"/>
        </w:rPr>
      </w:pPr>
    </w:p>
    <w:p w14:paraId="097EF0D7" w14:textId="77777777" w:rsidR="00F44E47" w:rsidRPr="00AE0B8F" w:rsidRDefault="00F44E47" w:rsidP="00F44E47">
      <w:pPr>
        <w:pStyle w:val="ListParagraph"/>
        <w:numPr>
          <w:ilvl w:val="0"/>
          <w:numId w:val="23"/>
        </w:numPr>
        <w:spacing w:before="0" w:line="252" w:lineRule="auto"/>
        <w:jc w:val="both"/>
      </w:pPr>
      <w:r w:rsidRPr="00E836F2">
        <w:rPr>
          <w:i/>
        </w:rPr>
        <w:t>Beneficiary:</w:t>
      </w:r>
      <w:r w:rsidRPr="00AE0B8F">
        <w:t xml:space="preserve"> </w:t>
      </w:r>
      <w:r>
        <w:t>T</w:t>
      </w:r>
      <w:r w:rsidRPr="00AE0B8F">
        <w:t xml:space="preserve">arget of development results </w:t>
      </w:r>
      <w:r>
        <w:t>that are t</w:t>
      </w:r>
      <w:r w:rsidRPr="00AE0B8F">
        <w:t xml:space="preserve">o be achieved in line with their national development priorities and needs. </w:t>
      </w:r>
    </w:p>
    <w:p w14:paraId="65EA12AA" w14:textId="77777777" w:rsidR="00F44E47" w:rsidRPr="00AE0B8F" w:rsidRDefault="00F44E47" w:rsidP="00F44E47">
      <w:pPr>
        <w:pStyle w:val="ListParagraph"/>
        <w:numPr>
          <w:ilvl w:val="0"/>
          <w:numId w:val="23"/>
        </w:numPr>
        <w:spacing w:before="0" w:line="252" w:lineRule="auto"/>
        <w:jc w:val="both"/>
      </w:pPr>
      <w:r w:rsidRPr="00E836F2">
        <w:rPr>
          <w:i/>
        </w:rPr>
        <w:t>Pivotal:</w:t>
      </w:r>
      <w:r w:rsidRPr="00AE0B8F">
        <w:t xml:space="preserve"> </w:t>
      </w:r>
      <w:r>
        <w:t>P</w:t>
      </w:r>
      <w:r w:rsidRPr="00AE0B8F">
        <w:t>roven</w:t>
      </w:r>
      <w:r>
        <w:t xml:space="preserve"> </w:t>
      </w:r>
      <w:r w:rsidRPr="00AE0B8F">
        <w:t>experience with both</w:t>
      </w:r>
      <w:r>
        <w:t xml:space="preserve"> Northern and Southern partners. S</w:t>
      </w:r>
      <w:r w:rsidRPr="00AE0B8F">
        <w:t xml:space="preserve">hares its resources, knowledge and expertise, often connecting the </w:t>
      </w:r>
      <w:r>
        <w:t>facilitator</w:t>
      </w:r>
      <w:r w:rsidRPr="00AE0B8F">
        <w:t xml:space="preserve"> and benefi</w:t>
      </w:r>
      <w:r>
        <w:t xml:space="preserve">ciary, </w:t>
      </w:r>
      <w:r w:rsidRPr="00AE0B8F">
        <w:t>and acting as a project implementer.</w:t>
      </w:r>
    </w:p>
    <w:p w14:paraId="5FDAE430" w14:textId="77777777" w:rsidR="00F44E47" w:rsidRDefault="00F44E47" w:rsidP="00F44E47">
      <w:pPr>
        <w:pStyle w:val="ListParagraph"/>
        <w:numPr>
          <w:ilvl w:val="0"/>
          <w:numId w:val="23"/>
        </w:numPr>
        <w:spacing w:before="0" w:line="252" w:lineRule="auto"/>
        <w:jc w:val="both"/>
      </w:pPr>
      <w:r w:rsidRPr="00E836F2">
        <w:rPr>
          <w:i/>
        </w:rPr>
        <w:t>Facilitator:</w:t>
      </w:r>
      <w:r w:rsidRPr="00AE0B8F">
        <w:t xml:space="preserve"> Provides material</w:t>
      </w:r>
      <w:r>
        <w:t xml:space="preserve"> resources and might </w:t>
      </w:r>
      <w:r w:rsidRPr="00E836F2">
        <w:rPr>
          <w:rStyle w:val="normaltextrun"/>
          <w:shd w:val="clear" w:color="auto" w:fill="FFFFFF"/>
        </w:rPr>
        <w:t xml:space="preserve">help </w:t>
      </w:r>
      <w:r>
        <w:rPr>
          <w:rStyle w:val="normaltextrun"/>
          <w:shd w:val="clear" w:color="auto" w:fill="FFFFFF"/>
        </w:rPr>
        <w:t xml:space="preserve">to </w:t>
      </w:r>
      <w:r w:rsidRPr="00E836F2">
        <w:rPr>
          <w:rStyle w:val="normaltextrun"/>
          <w:shd w:val="clear" w:color="auto" w:fill="FFFFFF"/>
        </w:rPr>
        <w:t xml:space="preserve">connect the </w:t>
      </w:r>
      <w:r>
        <w:rPr>
          <w:rStyle w:val="normaltextrun"/>
          <w:shd w:val="clear" w:color="auto" w:fill="FFFFFF"/>
        </w:rPr>
        <w:t>p</w:t>
      </w:r>
      <w:r w:rsidRPr="00E836F2">
        <w:rPr>
          <w:rStyle w:val="normaltextrun"/>
          <w:shd w:val="clear" w:color="auto" w:fill="FFFFFF"/>
        </w:rPr>
        <w:t xml:space="preserve">ivotal partner to the </w:t>
      </w:r>
      <w:r>
        <w:rPr>
          <w:rStyle w:val="normaltextrun"/>
          <w:shd w:val="clear" w:color="auto" w:fill="FFFFFF"/>
        </w:rPr>
        <w:t>b</w:t>
      </w:r>
      <w:r w:rsidRPr="00E836F2">
        <w:rPr>
          <w:rStyle w:val="normaltextrun"/>
          <w:shd w:val="clear" w:color="auto" w:fill="FFFFFF"/>
        </w:rPr>
        <w:t>eneficiary, while supporting the collaboration financially and technically.</w:t>
      </w:r>
    </w:p>
    <w:p w14:paraId="6B70FCDF" w14:textId="77777777" w:rsidR="00F44E47" w:rsidRDefault="00F44E47" w:rsidP="00F44E47">
      <w:pPr>
        <w:rPr>
          <w:noProof/>
          <w:lang w:eastAsia="en-CA"/>
        </w:rPr>
      </w:pPr>
      <w:r>
        <w:t xml:space="preserve">There may be several actors for each role and roles may change over the life cycle of a project – no matter the combination, all partners share knowledge and expertise, often encouraging innovation and co-creation through mutual learning. </w:t>
      </w:r>
      <w:r>
        <w:rPr>
          <w:noProof/>
          <w:lang w:eastAsia="en-CA"/>
        </w:rPr>
        <w:t xml:space="preserve">As a result, the added value of triangular co-operation is not merely reflected in its development results, but also in the new and strengthened partnerships it helps to create whereby all actors engage on an equal footing and commit to inclusive joint decision-making and co-ownership. </w:t>
      </w:r>
    </w:p>
    <w:p w14:paraId="68A1E561" w14:textId="28F9D3C1" w:rsidR="00F44E47" w:rsidRDefault="00F44E47" w:rsidP="00F44E47">
      <w:r>
        <w:t xml:space="preserve">By creating more </w:t>
      </w:r>
      <w:r w:rsidRPr="00851C5B">
        <w:t>inclusive and equ</w:t>
      </w:r>
      <w:r>
        <w:t>itable</w:t>
      </w:r>
      <w:r w:rsidRPr="00851C5B">
        <w:t xml:space="preserve"> partnerships,</w:t>
      </w:r>
      <w:r>
        <w:t xml:space="preserve"> contemporary triangular co-operation provides </w:t>
      </w:r>
      <w:r w:rsidRPr="00851C5B">
        <w:t xml:space="preserve">an opportunity for all development </w:t>
      </w:r>
      <w:r>
        <w:t>actors</w:t>
      </w:r>
      <w:r w:rsidRPr="00851C5B">
        <w:t xml:space="preserve"> to achieve greater effectiveness, coherence, and impact to accelerate the achievement of the S</w:t>
      </w:r>
      <w:r>
        <w:t xml:space="preserve">ustainable </w:t>
      </w:r>
      <w:r w:rsidRPr="00851C5B">
        <w:t>D</w:t>
      </w:r>
      <w:r>
        <w:t xml:space="preserve">evelopment </w:t>
      </w:r>
      <w:r w:rsidRPr="00851C5B">
        <w:t>G</w:t>
      </w:r>
      <w:r>
        <w:t>oal</w:t>
      </w:r>
      <w:r w:rsidRPr="00851C5B">
        <w:t>s.</w:t>
      </w:r>
    </w:p>
    <w:p w14:paraId="285CB8A1" w14:textId="32C807B2" w:rsidR="00300346" w:rsidRPr="002470F4" w:rsidRDefault="00300346" w:rsidP="00F44E47">
      <w:pPr>
        <w:rPr>
          <w:b/>
          <w:i/>
          <w:noProof/>
          <w:sz w:val="28"/>
          <w:lang w:eastAsia="en-CA"/>
        </w:rPr>
      </w:pPr>
      <w:r w:rsidRPr="002470F4">
        <w:rPr>
          <w:b/>
          <w:i/>
          <w:noProof/>
          <w:color w:val="1F497D" w:themeColor="text2"/>
          <w:sz w:val="28"/>
          <w:lang w:eastAsia="en-CA"/>
        </w:rPr>
        <w:t>Triangular Cooperation at the GPEDC</w:t>
      </w:r>
    </w:p>
    <w:p w14:paraId="35B87305" w14:textId="3700E7D4" w:rsidR="00300346" w:rsidRPr="002A6751" w:rsidRDefault="00300346" w:rsidP="00300346">
      <w:pPr>
        <w:rPr>
          <w:rFonts w:cs="Calibri Light"/>
          <w:color w:val="222222"/>
        </w:rPr>
      </w:pPr>
      <w:r>
        <w:rPr>
          <w:rFonts w:cs="Calibri Light"/>
          <w:color w:val="222222"/>
          <w:shd w:val="clear" w:color="auto" w:fill="FFFFFF"/>
        </w:rPr>
        <w:t xml:space="preserve">Established in 2016 at the </w:t>
      </w:r>
      <w:r w:rsidRPr="002470F4">
        <w:rPr>
          <w:rFonts w:cs="Calibri Light"/>
          <w:shd w:val="clear" w:color="auto" w:fill="FFFFFF"/>
        </w:rPr>
        <w:t>GPEDC</w:t>
      </w:r>
      <w:r>
        <w:rPr>
          <w:rFonts w:cs="Calibri Light"/>
          <w:color w:val="222222"/>
          <w:shd w:val="clear" w:color="auto" w:fill="FFFFFF"/>
        </w:rPr>
        <w:t>’s 2</w:t>
      </w:r>
      <w:r w:rsidRPr="0035481F">
        <w:rPr>
          <w:rFonts w:cs="Calibri Light"/>
          <w:color w:val="222222"/>
          <w:shd w:val="clear" w:color="auto" w:fill="FFFFFF"/>
          <w:vertAlign w:val="superscript"/>
        </w:rPr>
        <w:t>nd</w:t>
      </w:r>
      <w:r>
        <w:rPr>
          <w:rFonts w:cs="Calibri Light"/>
          <w:color w:val="222222"/>
          <w:shd w:val="clear" w:color="auto" w:fill="FFFFFF"/>
        </w:rPr>
        <w:t xml:space="preserve"> High-Level Meeting, the </w:t>
      </w:r>
      <w:r w:rsidRPr="2A8C756B">
        <w:rPr>
          <w:rFonts w:cs="Calibri Light"/>
          <w:color w:val="222222"/>
          <w:shd w:val="clear" w:color="auto" w:fill="FFFFFF"/>
        </w:rPr>
        <w:t>Global Partnership Initiative</w:t>
      </w:r>
      <w:r w:rsidRPr="0035481F">
        <w:rPr>
          <w:rFonts w:cs="Calibri Light"/>
          <w:color w:val="222222"/>
          <w:shd w:val="clear" w:color="auto" w:fill="FFFFFF"/>
        </w:rPr>
        <w:t xml:space="preserve"> on</w:t>
      </w:r>
      <w:r w:rsidRPr="0035481F">
        <w:rPr>
          <w:rFonts w:cs="Calibri Light"/>
          <w:noProof/>
        </w:rPr>
        <w:t xml:space="preserve"> Effective Triangular Cooperation (GPI)</w:t>
      </w:r>
      <w:r>
        <w:rPr>
          <w:rFonts w:cs="Calibri Light"/>
          <w:color w:val="222222"/>
          <w:shd w:val="clear" w:color="auto" w:fill="FFFFFF"/>
        </w:rPr>
        <w:t xml:space="preserve"> has </w:t>
      </w:r>
      <w:r w:rsidRPr="0035481F">
        <w:rPr>
          <w:rFonts w:cs="Calibri Light"/>
          <w:color w:val="222222"/>
          <w:shd w:val="clear" w:color="auto" w:fill="FFFFFF"/>
        </w:rPr>
        <w:t xml:space="preserve">helped </w:t>
      </w:r>
      <w:r>
        <w:rPr>
          <w:rFonts w:cs="Calibri Light"/>
          <w:color w:val="222222"/>
          <w:shd w:val="clear" w:color="auto" w:fill="FFFFFF"/>
        </w:rPr>
        <w:t xml:space="preserve">to shape and </w:t>
      </w:r>
      <w:r w:rsidRPr="0035481F">
        <w:rPr>
          <w:rFonts w:cs="Calibri Light"/>
          <w:color w:val="222222"/>
          <w:shd w:val="clear" w:color="auto" w:fill="FFFFFF"/>
        </w:rPr>
        <w:t xml:space="preserve">build momentum around </w:t>
      </w:r>
      <w:r>
        <w:rPr>
          <w:rFonts w:cs="Calibri Light"/>
          <w:color w:val="222222"/>
          <w:shd w:val="clear" w:color="auto" w:fill="FFFFFF"/>
        </w:rPr>
        <w:t>the</w:t>
      </w:r>
      <w:r w:rsidRPr="0035481F">
        <w:rPr>
          <w:rFonts w:cs="Calibri Light"/>
          <w:color w:val="222222"/>
          <w:shd w:val="clear" w:color="auto" w:fill="FFFFFF"/>
        </w:rPr>
        <w:t xml:space="preserve"> contemporary appr</w:t>
      </w:r>
      <w:r>
        <w:rPr>
          <w:rFonts w:cs="Calibri Light"/>
          <w:color w:val="222222"/>
          <w:shd w:val="clear" w:color="auto" w:fill="FFFFFF"/>
        </w:rPr>
        <w:t xml:space="preserve">oach to triangular co-operation. To complement this work and to </w:t>
      </w:r>
      <w:r w:rsidRPr="15D94651">
        <w:rPr>
          <w:rFonts w:cs="Calibri Light"/>
          <w:color w:val="222222"/>
        </w:rPr>
        <w:t>integrate triangular cooperation</w:t>
      </w:r>
      <w:r>
        <w:rPr>
          <w:rFonts w:cs="Calibri Light"/>
          <w:color w:val="222222"/>
        </w:rPr>
        <w:t xml:space="preserve"> </w:t>
      </w:r>
      <w:r w:rsidRPr="15D94651">
        <w:rPr>
          <w:rFonts w:cs="Calibri Light"/>
          <w:color w:val="222222"/>
        </w:rPr>
        <w:t xml:space="preserve">into its policies and activities, the GPEDC has </w:t>
      </w:r>
      <w:r>
        <w:rPr>
          <w:rFonts w:cs="Calibri Light"/>
          <w:color w:val="222222"/>
        </w:rPr>
        <w:t xml:space="preserve">created an </w:t>
      </w:r>
      <w:hyperlink r:id="rId8" w:history="1">
        <w:r>
          <w:rPr>
            <w:rStyle w:val="Hyperlink"/>
            <w:rFonts w:cs="Calibri Light"/>
          </w:rPr>
          <w:t>action a</w:t>
        </w:r>
        <w:r w:rsidRPr="00F90C33">
          <w:rPr>
            <w:rStyle w:val="Hyperlink"/>
            <w:rFonts w:cs="Calibri Light"/>
          </w:rPr>
          <w:t>rea on triangular cooperation</w:t>
        </w:r>
      </w:hyperlink>
      <w:r w:rsidRPr="00F90C33">
        <w:rPr>
          <w:rFonts w:cs="Calibri Light"/>
          <w:color w:val="222222"/>
        </w:rPr>
        <w:t xml:space="preserve"> </w:t>
      </w:r>
      <w:r w:rsidRPr="00CF6BAD">
        <w:rPr>
          <w:rFonts w:cs="Calibri Light"/>
          <w:color w:val="222222"/>
          <w:shd w:val="clear" w:color="auto" w:fill="FFFFFF"/>
        </w:rPr>
        <w:t xml:space="preserve">under the </w:t>
      </w:r>
      <w:r w:rsidRPr="15D94651">
        <w:rPr>
          <w:rFonts w:cs="Calibri Light"/>
          <w:color w:val="222222"/>
          <w:shd w:val="clear" w:color="auto" w:fill="FFFFFF"/>
        </w:rPr>
        <w:t xml:space="preserve">“Building Better Partnerships” priority </w:t>
      </w:r>
      <w:r w:rsidRPr="00466E65">
        <w:rPr>
          <w:rFonts w:cs="Calibri Light"/>
          <w:color w:val="222222"/>
          <w:shd w:val="clear" w:color="auto" w:fill="FFFFFF"/>
        </w:rPr>
        <w:t>of its</w:t>
      </w:r>
      <w:r>
        <w:t xml:space="preserve"> </w:t>
      </w:r>
      <w:r w:rsidRPr="15D94651">
        <w:rPr>
          <w:rStyle w:val="Hyperlink"/>
          <w:rFonts w:cs="Calibri Light"/>
        </w:rPr>
        <w:t>2020-2022 Work Programme</w:t>
      </w:r>
      <w:r w:rsidRPr="15D94651">
        <w:rPr>
          <w:rFonts w:cs="Calibri Light"/>
          <w:color w:val="222222"/>
        </w:rPr>
        <w:t>.</w:t>
      </w:r>
      <w:r>
        <w:rPr>
          <w:rFonts w:cs="Calibri Light"/>
          <w:color w:val="222222"/>
          <w:shd w:val="clear" w:color="auto" w:fill="FFFFFF"/>
        </w:rPr>
        <w:t xml:space="preserve"> </w:t>
      </w:r>
      <w:r w:rsidRPr="002470F4">
        <w:rPr>
          <w:rFonts w:cs="Calibri Light"/>
          <w:b/>
          <w:color w:val="222222"/>
          <w:shd w:val="clear" w:color="auto" w:fill="FFFFFF"/>
        </w:rPr>
        <w:t>The main objective of this action area</w:t>
      </w:r>
      <w:r w:rsidRPr="002470F4">
        <w:rPr>
          <w:rFonts w:cs="Calibri Light"/>
          <w:color w:val="222222"/>
          <w:shd w:val="clear" w:color="auto" w:fill="FFFFFF"/>
        </w:rPr>
        <w:t xml:space="preserve"> (TrC AA) </w:t>
      </w:r>
      <w:r w:rsidRPr="002470F4">
        <w:rPr>
          <w:rFonts w:cs="Calibri Light"/>
          <w:b/>
          <w:color w:val="222222"/>
          <w:shd w:val="clear" w:color="auto" w:fill="FFFFFF"/>
        </w:rPr>
        <w:t xml:space="preserve">is to </w:t>
      </w:r>
      <w:r w:rsidRPr="002470F4">
        <w:rPr>
          <w:rFonts w:cs="Calibri Light"/>
          <w:b/>
          <w:color w:val="222222"/>
        </w:rPr>
        <w:t>build greater awareness of and mainstream engagement</w:t>
      </w:r>
      <w:r w:rsidRPr="002470F4">
        <w:rPr>
          <w:rFonts w:cs="Calibri Light"/>
          <w:b/>
          <w:color w:val="222222"/>
          <w:shd w:val="clear" w:color="auto" w:fill="FFFFFF"/>
        </w:rPr>
        <w:t xml:space="preserve"> for effective triangular co-operation within the GPEDC network. </w:t>
      </w:r>
      <w:r w:rsidRPr="34A88BD9">
        <w:rPr>
          <w:rFonts w:cs="Calibri Light"/>
          <w:color w:val="222222"/>
        </w:rPr>
        <w:t>The</w:t>
      </w:r>
      <w:r w:rsidRPr="00CF6BAD">
        <w:rPr>
          <w:rFonts w:cs="Calibri Light"/>
          <w:color w:val="222222"/>
          <w:shd w:val="clear" w:color="auto" w:fill="FFFFFF"/>
        </w:rPr>
        <w:t xml:space="preserve"> </w:t>
      </w:r>
      <w:r>
        <w:rPr>
          <w:rFonts w:cs="Calibri Light"/>
          <w:color w:val="222222"/>
          <w:shd w:val="clear" w:color="auto" w:fill="FFFFFF"/>
        </w:rPr>
        <w:t xml:space="preserve">GPI’s </w:t>
      </w:r>
      <w:hyperlink r:id="rId9" w:history="1">
        <w:r w:rsidRPr="002D4A38">
          <w:rPr>
            <w:rStyle w:val="Hyperlink"/>
            <w:rFonts w:cs="Calibri Light"/>
            <w:shd w:val="clear" w:color="auto" w:fill="FFFFFF"/>
          </w:rPr>
          <w:t>Vo</w:t>
        </w:r>
        <w:bookmarkStart w:id="0" w:name="_GoBack"/>
        <w:bookmarkEnd w:id="0"/>
        <w:r w:rsidRPr="002D4A38">
          <w:rPr>
            <w:rStyle w:val="Hyperlink"/>
            <w:rFonts w:cs="Calibri Light"/>
            <w:shd w:val="clear" w:color="auto" w:fill="FFFFFF"/>
          </w:rPr>
          <w:t xml:space="preserve">luntary Guidelines for Effective Triangular </w:t>
        </w:r>
        <w:r w:rsidRPr="002D4A38">
          <w:rPr>
            <w:rStyle w:val="Hyperlink"/>
            <w:rFonts w:cs="Calibri Light"/>
            <w:shd w:val="clear" w:color="auto" w:fill="FFFFFF"/>
          </w:rPr>
          <w:lastRenderedPageBreak/>
          <w:t>Cooperation</w:t>
        </w:r>
      </w:hyperlink>
      <w:r w:rsidRPr="00CF6BAD">
        <w:rPr>
          <w:rFonts w:cs="Calibri Light"/>
          <w:color w:val="222222"/>
          <w:shd w:val="clear" w:color="auto" w:fill="FFFFFF"/>
        </w:rPr>
        <w:t xml:space="preserve"> </w:t>
      </w:r>
      <w:r w:rsidR="00DF305A">
        <w:rPr>
          <w:rFonts w:cs="Calibri Light"/>
          <w:color w:val="222222"/>
          <w:shd w:val="clear" w:color="auto" w:fill="FFFFFF"/>
        </w:rPr>
        <w:t>serve as</w:t>
      </w:r>
      <w:r w:rsidRPr="00CF6BAD">
        <w:rPr>
          <w:rFonts w:cs="Calibri Light"/>
          <w:color w:val="222222"/>
          <w:shd w:val="clear" w:color="auto" w:fill="FFFFFF"/>
        </w:rPr>
        <w:t xml:space="preserve"> an anchor and underlying theme to achieve this objective, due</w:t>
      </w:r>
      <w:r>
        <w:rPr>
          <w:rFonts w:cs="Calibri Light"/>
          <w:color w:val="222222"/>
          <w:shd w:val="clear" w:color="auto" w:fill="FFFFFF"/>
        </w:rPr>
        <w:t xml:space="preserve"> to their root in effectiveness. </w:t>
      </w:r>
    </w:p>
    <w:p w14:paraId="1805070E" w14:textId="7E7216E4" w:rsidR="00300346" w:rsidRDefault="004805A9" w:rsidP="00300346">
      <w:pPr>
        <w:rPr>
          <w:rFonts w:cs="Calibri Light"/>
          <w:color w:val="222222"/>
          <w:shd w:val="clear" w:color="auto" w:fill="FFFFFF"/>
        </w:rPr>
      </w:pPr>
      <w:r>
        <w:rPr>
          <w:rFonts w:cs="Calibri Light"/>
          <w:color w:val="222222"/>
          <w:shd w:val="clear" w:color="auto" w:fill="FFFFFF"/>
        </w:rPr>
        <w:t>The GPI will continue to</w:t>
      </w:r>
      <w:r w:rsidR="00300346">
        <w:rPr>
          <w:rFonts w:cs="Calibri Light"/>
          <w:color w:val="222222"/>
          <w:shd w:val="clear" w:color="auto" w:fill="FFFFFF"/>
        </w:rPr>
        <w:t xml:space="preserve"> lead the strategic, analytical, technical and advocacy work on effective triangular cooperation, while the GPEDC TrC AA will focus its efforts on advocating the contemporary vision of triangular cooperation within the GPEDC multi-stakeholder network and constituencies. It will seek to pilot the implementation of the Voluntary Guidelines, reporting back lessons learned to the GPI as a means to help the GPI create a stronger evidence-base. </w:t>
      </w:r>
    </w:p>
    <w:p w14:paraId="6FCDADFC" w14:textId="77777777" w:rsidR="00300346" w:rsidRPr="002D4A38" w:rsidRDefault="00300346" w:rsidP="00300346">
      <w:pPr>
        <w:rPr>
          <w:rFonts w:cs="Calibri Light"/>
          <w:color w:val="222222"/>
          <w:shd w:val="clear" w:color="auto" w:fill="FFFFFF"/>
        </w:rPr>
      </w:pPr>
      <w:r>
        <w:rPr>
          <w:rFonts w:cs="Calibri Light"/>
          <w:color w:val="222222"/>
          <w:shd w:val="clear" w:color="auto" w:fill="FFFFFF"/>
        </w:rPr>
        <w:t xml:space="preserve">The GPI and GPEDC TrC AA are working closely together to promote synergies between their respective activities. </w:t>
      </w:r>
    </w:p>
    <w:p w14:paraId="00220424" w14:textId="102D3261" w:rsidR="00D2405E" w:rsidRDefault="00F44E47" w:rsidP="00F44E47">
      <w:r>
        <w:rPr>
          <w:noProof/>
          <w:lang w:eastAsia="en-CA"/>
        </w:rPr>
        <w:t xml:space="preserve">Where appropriate, the </w:t>
      </w:r>
      <w:r w:rsidR="002470F4">
        <w:rPr>
          <w:noProof/>
          <w:lang w:eastAsia="en-CA"/>
        </w:rPr>
        <w:t>GPEDC’s TrC AA</w:t>
      </w:r>
      <w:r>
        <w:rPr>
          <w:noProof/>
          <w:lang w:eastAsia="en-CA"/>
        </w:rPr>
        <w:t xml:space="preserve"> will consider how activities can be used to highlight the contributions of effective triangular co-operation towards the achievement of various Sustainable Development Goals, including but not limited to SDG 5 (Gender Equality). </w:t>
      </w:r>
      <w:r>
        <w:t xml:space="preserve">Recognizing that linkages exist between different partnership modalities, the working group will also work closely with other </w:t>
      </w:r>
      <w:r w:rsidR="004B4F40">
        <w:t>Acton Areas</w:t>
      </w:r>
      <w:r>
        <w:t>, such as Action Area 2.1: Private Sector Partnerships for Sustainable Development, to leverage synergies and complement</w:t>
      </w:r>
      <w:r w:rsidR="00314BAD">
        <w:t>arities</w:t>
      </w:r>
      <w:r>
        <w:t xml:space="preserve"> where possible. </w:t>
      </w:r>
    </w:p>
    <w:p w14:paraId="149F0C9B" w14:textId="4E1B43DE" w:rsidR="00D2405E" w:rsidRPr="00750D11" w:rsidRDefault="002470F4" w:rsidP="00D2405E">
      <w:pPr>
        <w:spacing w:before="0" w:after="0"/>
        <w:rPr>
          <w:rFonts w:eastAsia="Times New Roman" w:cs="Calibri Light"/>
          <w:b/>
          <w:color w:val="1F497D" w:themeColor="text2"/>
          <w:sz w:val="28"/>
          <w:szCs w:val="22"/>
          <w:lang w:eastAsia="en-GB"/>
        </w:rPr>
      </w:pPr>
      <w:r>
        <w:rPr>
          <w:rFonts w:eastAsia="Times New Roman" w:cs="Calibri Light"/>
          <w:b/>
          <w:color w:val="1F497D" w:themeColor="text2"/>
          <w:sz w:val="28"/>
          <w:szCs w:val="22"/>
          <w:lang w:eastAsia="en-GB"/>
        </w:rPr>
        <w:t>Action Area</w:t>
      </w:r>
      <w:r w:rsidR="00D2405E" w:rsidRPr="00750D11">
        <w:rPr>
          <w:rFonts w:eastAsia="Times New Roman" w:cs="Calibri Light"/>
          <w:b/>
          <w:color w:val="1F497D" w:themeColor="text2"/>
          <w:sz w:val="28"/>
          <w:szCs w:val="22"/>
          <w:lang w:eastAsia="en-GB"/>
        </w:rPr>
        <w:t xml:space="preserve"> </w:t>
      </w:r>
      <w:r w:rsidR="00D2405E">
        <w:rPr>
          <w:rFonts w:eastAsia="Times New Roman" w:cs="Calibri Light"/>
          <w:b/>
          <w:color w:val="1F497D" w:themeColor="text2"/>
          <w:sz w:val="28"/>
          <w:szCs w:val="22"/>
          <w:lang w:eastAsia="en-GB"/>
        </w:rPr>
        <w:t>Participants</w:t>
      </w:r>
    </w:p>
    <w:p w14:paraId="767FE9E4" w14:textId="77777777" w:rsidR="00D2405E" w:rsidRDefault="00D2405E" w:rsidP="00D2405E">
      <w:pPr>
        <w:spacing w:before="0" w:after="0"/>
        <w:rPr>
          <w:i/>
        </w:rPr>
      </w:pPr>
    </w:p>
    <w:p w14:paraId="34B34B6F" w14:textId="13FD4655" w:rsidR="00D2405E" w:rsidRPr="0002104E" w:rsidRDefault="00D2405E" w:rsidP="00D2405E">
      <w:pPr>
        <w:spacing w:before="0" w:after="0"/>
        <w:rPr>
          <w:b/>
        </w:rPr>
      </w:pPr>
      <w:r w:rsidRPr="00750D11">
        <w:rPr>
          <w:i/>
        </w:rPr>
        <w:t>Lead:</w:t>
      </w:r>
      <w:r w:rsidRPr="009E6DF8">
        <w:t xml:space="preserve"> </w:t>
      </w:r>
      <w:r w:rsidRPr="0002104E">
        <w:t>Canada</w:t>
      </w:r>
      <w:r>
        <w:t xml:space="preserve"> </w:t>
      </w:r>
    </w:p>
    <w:p w14:paraId="34D064C0" w14:textId="77777777" w:rsidR="00D2405E" w:rsidRDefault="00D2405E" w:rsidP="00D2405E">
      <w:pPr>
        <w:spacing w:before="0" w:after="0"/>
        <w:rPr>
          <w:i/>
        </w:rPr>
      </w:pPr>
    </w:p>
    <w:p w14:paraId="5D61B2D8" w14:textId="26DAD955" w:rsidR="00D2405E" w:rsidRPr="009E6DF8" w:rsidRDefault="00D2405E" w:rsidP="00D2405E">
      <w:pPr>
        <w:spacing w:before="0" w:after="0"/>
        <w:rPr>
          <w:b/>
          <w:u w:val="single"/>
        </w:rPr>
      </w:pPr>
      <w:r w:rsidRPr="00750D11">
        <w:rPr>
          <w:i/>
        </w:rPr>
        <w:t>Members</w:t>
      </w:r>
      <w:r>
        <w:t>:</w:t>
      </w:r>
    </w:p>
    <w:p w14:paraId="026DEDBF" w14:textId="77777777" w:rsidR="00D2405E" w:rsidRDefault="00D2405E" w:rsidP="00D2405E">
      <w:pPr>
        <w:pStyle w:val="ListParagraph"/>
        <w:numPr>
          <w:ilvl w:val="0"/>
          <w:numId w:val="18"/>
        </w:numPr>
        <w:spacing w:before="0" w:after="0"/>
        <w:sectPr w:rsidR="00D2405E" w:rsidSect="00D2405E">
          <w:footerReference w:type="default" r:id="rId10"/>
          <w:pgSz w:w="12240" w:h="15840" w:code="1"/>
          <w:pgMar w:top="1440" w:right="1440" w:bottom="1440" w:left="1440" w:header="1247" w:footer="1247" w:gutter="0"/>
          <w:pgNumType w:start="1"/>
          <w:cols w:space="708"/>
          <w:docGrid w:linePitch="360"/>
        </w:sectPr>
      </w:pPr>
    </w:p>
    <w:p w14:paraId="63F848FF" w14:textId="77777777" w:rsidR="00AF134E" w:rsidRPr="005967AB" w:rsidRDefault="00AF134E" w:rsidP="00D2405E">
      <w:pPr>
        <w:pStyle w:val="ListParagraph"/>
        <w:numPr>
          <w:ilvl w:val="0"/>
          <w:numId w:val="18"/>
        </w:numPr>
        <w:spacing w:before="0" w:after="0"/>
        <w:rPr>
          <w:b/>
        </w:rPr>
      </w:pPr>
      <w:r>
        <w:t>Colombia</w:t>
      </w:r>
    </w:p>
    <w:p w14:paraId="47154AFC" w14:textId="77777777" w:rsidR="00AF134E" w:rsidRPr="005967AB" w:rsidRDefault="00AF134E" w:rsidP="00D2405E">
      <w:pPr>
        <w:pStyle w:val="ListParagraph"/>
        <w:numPr>
          <w:ilvl w:val="0"/>
          <w:numId w:val="18"/>
        </w:numPr>
        <w:spacing w:before="0" w:after="0"/>
        <w:rPr>
          <w:b/>
        </w:rPr>
      </w:pPr>
      <w:r w:rsidRPr="005967AB">
        <w:t xml:space="preserve">El Salvador </w:t>
      </w:r>
    </w:p>
    <w:p w14:paraId="16EA720D" w14:textId="77777777" w:rsidR="00AF134E" w:rsidRPr="005967AB" w:rsidRDefault="00AF134E" w:rsidP="00D2405E">
      <w:pPr>
        <w:pStyle w:val="ListParagraph"/>
        <w:numPr>
          <w:ilvl w:val="0"/>
          <w:numId w:val="18"/>
        </w:numPr>
        <w:spacing w:before="0" w:after="0"/>
        <w:rPr>
          <w:b/>
        </w:rPr>
      </w:pPr>
      <w:r w:rsidRPr="005967AB">
        <w:t>Japan</w:t>
      </w:r>
    </w:p>
    <w:p w14:paraId="3B2621A8" w14:textId="77777777" w:rsidR="00AF134E" w:rsidRDefault="00AF134E" w:rsidP="00D2405E">
      <w:pPr>
        <w:pStyle w:val="ListParagraph"/>
        <w:numPr>
          <w:ilvl w:val="0"/>
          <w:numId w:val="18"/>
        </w:numPr>
        <w:spacing w:before="0" w:after="0"/>
        <w:rPr>
          <w:b/>
        </w:rPr>
      </w:pPr>
      <w:r w:rsidRPr="005967AB">
        <w:t>Mexico</w:t>
      </w:r>
    </w:p>
    <w:p w14:paraId="40E60811" w14:textId="77777777" w:rsidR="00AF134E" w:rsidRDefault="00AF134E" w:rsidP="00D2405E">
      <w:pPr>
        <w:pStyle w:val="ListParagraph"/>
        <w:numPr>
          <w:ilvl w:val="0"/>
          <w:numId w:val="18"/>
        </w:numPr>
        <w:spacing w:before="0" w:after="0"/>
        <w:rPr>
          <w:b/>
        </w:rPr>
      </w:pPr>
      <w:r w:rsidRPr="005967AB">
        <w:t>Peru</w:t>
      </w:r>
    </w:p>
    <w:p w14:paraId="53D04C71" w14:textId="77777777" w:rsidR="00AF134E" w:rsidRPr="005967AB" w:rsidRDefault="00AF134E" w:rsidP="00D2405E">
      <w:pPr>
        <w:pStyle w:val="ListParagraph"/>
        <w:numPr>
          <w:ilvl w:val="0"/>
          <w:numId w:val="18"/>
        </w:numPr>
        <w:spacing w:before="0" w:after="0"/>
        <w:rPr>
          <w:b/>
        </w:rPr>
      </w:pPr>
      <w:r>
        <w:t>Rwanda</w:t>
      </w:r>
    </w:p>
    <w:p w14:paraId="791163D6" w14:textId="77777777" w:rsidR="00AF134E" w:rsidRPr="005967AB" w:rsidRDefault="00AF134E" w:rsidP="00D2405E">
      <w:pPr>
        <w:pStyle w:val="ListParagraph"/>
        <w:numPr>
          <w:ilvl w:val="0"/>
          <w:numId w:val="18"/>
        </w:numPr>
        <w:spacing w:before="0" w:after="0"/>
        <w:rPr>
          <w:b/>
        </w:rPr>
      </w:pPr>
      <w:r w:rsidRPr="005967AB">
        <w:t>South Africa</w:t>
      </w:r>
    </w:p>
    <w:p w14:paraId="2B301250" w14:textId="77777777" w:rsidR="00AF134E" w:rsidRDefault="00AF134E" w:rsidP="00D2405E">
      <w:pPr>
        <w:pStyle w:val="ListParagraph"/>
        <w:numPr>
          <w:ilvl w:val="0"/>
          <w:numId w:val="18"/>
        </w:numPr>
        <w:spacing w:before="0" w:after="0"/>
        <w:rPr>
          <w:b/>
        </w:rPr>
      </w:pPr>
      <w:r w:rsidRPr="005967AB">
        <w:t xml:space="preserve">Spain </w:t>
      </w:r>
    </w:p>
    <w:p w14:paraId="6E3B4D6B" w14:textId="77777777" w:rsidR="00AF134E" w:rsidRDefault="00AF134E" w:rsidP="00D2405E">
      <w:pPr>
        <w:pStyle w:val="ListParagraph"/>
        <w:numPr>
          <w:ilvl w:val="0"/>
          <w:numId w:val="18"/>
        </w:numPr>
        <w:spacing w:before="0" w:after="0"/>
        <w:rPr>
          <w:b/>
        </w:rPr>
      </w:pPr>
      <w:r w:rsidRPr="005967AB">
        <w:t xml:space="preserve">Uganda </w:t>
      </w:r>
    </w:p>
    <w:p w14:paraId="658FC25C" w14:textId="77777777" w:rsidR="00AF134E" w:rsidRDefault="00AF134E" w:rsidP="00AF134E">
      <w:pPr>
        <w:pStyle w:val="ListParagraph"/>
        <w:numPr>
          <w:ilvl w:val="0"/>
          <w:numId w:val="18"/>
        </w:numPr>
        <w:spacing w:before="0" w:after="0"/>
        <w:rPr>
          <w:b/>
        </w:rPr>
      </w:pPr>
      <w:r w:rsidRPr="005967AB">
        <w:t>African Union Development Agency (NEPAD)</w:t>
      </w:r>
    </w:p>
    <w:p w14:paraId="6DB2C92F" w14:textId="77777777" w:rsidR="00D2405E" w:rsidRPr="005967AB" w:rsidRDefault="00D2405E" w:rsidP="00D2405E">
      <w:pPr>
        <w:pStyle w:val="ListParagraph"/>
        <w:numPr>
          <w:ilvl w:val="0"/>
          <w:numId w:val="18"/>
        </w:numPr>
        <w:spacing w:before="0" w:after="0"/>
        <w:rPr>
          <w:b/>
        </w:rPr>
      </w:pPr>
      <w:r w:rsidRPr="005967AB">
        <w:t xml:space="preserve">BRICS Policy Centre </w:t>
      </w:r>
    </w:p>
    <w:p w14:paraId="023F001D" w14:textId="77777777" w:rsidR="00D2405E" w:rsidRDefault="00D2405E" w:rsidP="00D2405E">
      <w:pPr>
        <w:pStyle w:val="ListParagraph"/>
        <w:numPr>
          <w:ilvl w:val="0"/>
          <w:numId w:val="18"/>
        </w:numPr>
        <w:spacing w:before="0" w:after="0"/>
        <w:rPr>
          <w:b/>
        </w:rPr>
      </w:pPr>
      <w:r w:rsidRPr="005967AB">
        <w:t xml:space="preserve">Canadian Council for International Cooperation </w:t>
      </w:r>
      <w:r>
        <w:t>(CCIC)</w:t>
      </w:r>
    </w:p>
    <w:p w14:paraId="0FAA0D84" w14:textId="77777777" w:rsidR="00AF134E" w:rsidRPr="005967AB" w:rsidRDefault="00AF134E" w:rsidP="00AF134E">
      <w:pPr>
        <w:pStyle w:val="ListParagraph"/>
        <w:numPr>
          <w:ilvl w:val="0"/>
          <w:numId w:val="18"/>
        </w:numPr>
        <w:spacing w:before="0" w:after="0"/>
        <w:rPr>
          <w:b/>
        </w:rPr>
      </w:pPr>
      <w:r w:rsidRPr="005967AB">
        <w:t xml:space="preserve">CSO Partnership for Development Effectiveness (CPDE) </w:t>
      </w:r>
    </w:p>
    <w:p w14:paraId="3233A9BF" w14:textId="77777777" w:rsidR="00AF134E" w:rsidRDefault="00AF134E" w:rsidP="00AF134E">
      <w:pPr>
        <w:pStyle w:val="ListParagraph"/>
        <w:numPr>
          <w:ilvl w:val="0"/>
          <w:numId w:val="18"/>
        </w:numPr>
        <w:spacing w:before="0" w:after="0"/>
        <w:rPr>
          <w:b/>
        </w:rPr>
      </w:pPr>
      <w:r>
        <w:t>Digital Opportunity Trust (DOT)</w:t>
      </w:r>
    </w:p>
    <w:p w14:paraId="48D30CA7" w14:textId="77777777" w:rsidR="00AF134E" w:rsidRDefault="00AF134E" w:rsidP="00AF134E">
      <w:pPr>
        <w:pStyle w:val="ListParagraph"/>
        <w:numPr>
          <w:ilvl w:val="0"/>
          <w:numId w:val="18"/>
        </w:numPr>
        <w:spacing w:before="0" w:after="0"/>
        <w:rPr>
          <w:b/>
        </w:rPr>
      </w:pPr>
      <w:r>
        <w:t>International Labour Organization (ILO)</w:t>
      </w:r>
    </w:p>
    <w:p w14:paraId="45F3FEF9" w14:textId="77777777" w:rsidR="00D2405E" w:rsidRPr="005967AB" w:rsidRDefault="00D2405E" w:rsidP="00D2405E">
      <w:pPr>
        <w:pStyle w:val="ListParagraph"/>
        <w:numPr>
          <w:ilvl w:val="0"/>
          <w:numId w:val="18"/>
        </w:numPr>
        <w:spacing w:before="0" w:after="0"/>
        <w:rPr>
          <w:b/>
        </w:rPr>
      </w:pPr>
      <w:r w:rsidRPr="005967AB">
        <w:t>Islamic Development Bank (ISDB)</w:t>
      </w:r>
    </w:p>
    <w:p w14:paraId="6B3B8373" w14:textId="77777777" w:rsidR="00AF134E" w:rsidRPr="00D2405E" w:rsidRDefault="00AF134E" w:rsidP="00AF134E">
      <w:pPr>
        <w:pStyle w:val="ListParagraph"/>
        <w:numPr>
          <w:ilvl w:val="0"/>
          <w:numId w:val="18"/>
        </w:numPr>
        <w:spacing w:before="0" w:after="0"/>
        <w:rPr>
          <w:b/>
        </w:rPr>
      </w:pPr>
      <w:r w:rsidRPr="005967AB">
        <w:t>FAO</w:t>
      </w:r>
    </w:p>
    <w:p w14:paraId="660A30D5" w14:textId="77777777" w:rsidR="00AF134E" w:rsidRPr="00D2405E" w:rsidRDefault="00AF134E" w:rsidP="00AF134E">
      <w:pPr>
        <w:pStyle w:val="ListParagraph"/>
        <w:numPr>
          <w:ilvl w:val="0"/>
          <w:numId w:val="18"/>
        </w:numPr>
        <w:spacing w:before="0" w:after="0"/>
        <w:rPr>
          <w:b/>
        </w:rPr>
      </w:pPr>
      <w:r w:rsidRPr="005967AB">
        <w:t>UNEP</w:t>
      </w:r>
    </w:p>
    <w:p w14:paraId="3DE57EA6" w14:textId="77777777" w:rsidR="00AF134E" w:rsidRPr="00AF134E" w:rsidRDefault="00AF134E" w:rsidP="00D2405E">
      <w:pPr>
        <w:pStyle w:val="ListParagraph"/>
        <w:numPr>
          <w:ilvl w:val="0"/>
          <w:numId w:val="18"/>
        </w:numPr>
        <w:spacing w:before="0" w:after="0"/>
        <w:rPr>
          <w:b/>
        </w:rPr>
      </w:pPr>
      <w:r>
        <w:t>UNDP</w:t>
      </w:r>
      <w:r w:rsidRPr="00921D9E">
        <w:t xml:space="preserve"> </w:t>
      </w:r>
    </w:p>
    <w:p w14:paraId="7465EC60" w14:textId="1E6904AF" w:rsidR="00D2405E" w:rsidRDefault="00D2405E" w:rsidP="00D2405E">
      <w:pPr>
        <w:pStyle w:val="ListParagraph"/>
        <w:numPr>
          <w:ilvl w:val="0"/>
          <w:numId w:val="18"/>
        </w:numPr>
        <w:spacing w:before="0" w:after="0"/>
        <w:rPr>
          <w:b/>
        </w:rPr>
      </w:pPr>
      <w:r w:rsidRPr="00921D9E">
        <w:t>UNODC</w:t>
      </w:r>
    </w:p>
    <w:p w14:paraId="7D1557EE" w14:textId="77777777" w:rsidR="00D2405E" w:rsidRDefault="00D2405E">
      <w:pPr>
        <w:spacing w:before="0" w:after="200" w:line="276" w:lineRule="auto"/>
        <w:sectPr w:rsidR="00D2405E" w:rsidSect="00D2405E">
          <w:type w:val="continuous"/>
          <w:pgSz w:w="12240" w:h="15840" w:code="1"/>
          <w:pgMar w:top="1440" w:right="1440" w:bottom="1440" w:left="1440" w:header="1247" w:footer="1247" w:gutter="0"/>
          <w:pgNumType w:start="1"/>
          <w:cols w:num="3" w:space="708"/>
          <w:docGrid w:linePitch="360"/>
        </w:sectPr>
      </w:pPr>
    </w:p>
    <w:p w14:paraId="25FB2FE2" w14:textId="06B8F10D" w:rsidR="00750D11" w:rsidRDefault="00750D11" w:rsidP="00F44E47"/>
    <w:p w14:paraId="00044363" w14:textId="77777777" w:rsidR="00750D11" w:rsidRDefault="00750D11" w:rsidP="00F44E47">
      <w:pPr>
        <w:sectPr w:rsidR="00750D11" w:rsidSect="00D2405E">
          <w:type w:val="continuous"/>
          <w:pgSz w:w="12240" w:h="15840" w:code="1"/>
          <w:pgMar w:top="1440" w:right="1440" w:bottom="1440" w:left="1440" w:header="1247" w:footer="1247" w:gutter="0"/>
          <w:pgNumType w:start="1"/>
          <w:cols w:space="708"/>
          <w:docGrid w:linePitch="360"/>
        </w:sectPr>
      </w:pPr>
    </w:p>
    <w:p w14:paraId="5382AEDC" w14:textId="4619DCE7" w:rsidR="00856E8F" w:rsidRDefault="002470F4" w:rsidP="008B32F1">
      <w:pPr>
        <w:spacing w:before="0" w:after="0"/>
        <w:rPr>
          <w:rFonts w:eastAsia="Times New Roman" w:cs="Calibri Light"/>
          <w:b/>
          <w:i/>
          <w:color w:val="1F497D" w:themeColor="text2"/>
          <w:sz w:val="28"/>
          <w:szCs w:val="22"/>
          <w:lang w:eastAsia="en-GB"/>
        </w:rPr>
      </w:pPr>
      <w:r>
        <w:rPr>
          <w:rFonts w:eastAsia="Times New Roman" w:cs="Calibri Light"/>
          <w:b/>
          <w:i/>
          <w:color w:val="1F497D" w:themeColor="text2"/>
          <w:sz w:val="28"/>
          <w:szCs w:val="22"/>
          <w:lang w:eastAsia="en-GB"/>
        </w:rPr>
        <w:lastRenderedPageBreak/>
        <w:t xml:space="preserve">Work Plan – </w:t>
      </w:r>
      <w:r w:rsidRPr="002470F4">
        <w:rPr>
          <w:rFonts w:eastAsia="Times New Roman" w:cs="Calibri Light"/>
          <w:b/>
          <w:i/>
          <w:color w:val="1F497D" w:themeColor="text2"/>
          <w:sz w:val="28"/>
          <w:szCs w:val="22"/>
          <w:lang w:eastAsia="en-GB"/>
        </w:rPr>
        <w:t>Priority Activities</w:t>
      </w:r>
    </w:p>
    <w:tbl>
      <w:tblPr>
        <w:tblStyle w:val="TableGrid"/>
        <w:tblW w:w="0" w:type="auto"/>
        <w:tblLayout w:type="fixed"/>
        <w:tblLook w:val="04A0" w:firstRow="1" w:lastRow="0" w:firstColumn="1" w:lastColumn="0" w:noHBand="0" w:noVBand="1"/>
      </w:tblPr>
      <w:tblGrid>
        <w:gridCol w:w="4673"/>
        <w:gridCol w:w="6095"/>
        <w:gridCol w:w="2552"/>
        <w:gridCol w:w="1559"/>
        <w:gridCol w:w="760"/>
        <w:gridCol w:w="602"/>
        <w:gridCol w:w="601"/>
        <w:gridCol w:w="602"/>
        <w:gridCol w:w="602"/>
      </w:tblGrid>
      <w:tr w:rsidR="00856E8F" w:rsidRPr="00856E8F" w14:paraId="7272D237" w14:textId="77777777" w:rsidTr="004805A9">
        <w:tc>
          <w:tcPr>
            <w:tcW w:w="4673" w:type="dxa"/>
            <w:vAlign w:val="center"/>
          </w:tcPr>
          <w:p w14:paraId="7E8B7687" w14:textId="4E405C37" w:rsidR="00856E8F" w:rsidRPr="00856E8F" w:rsidRDefault="00856E8F" w:rsidP="00856E8F">
            <w:pPr>
              <w:spacing w:before="0" w:after="0"/>
              <w:jc w:val="center"/>
              <w:rPr>
                <w:rFonts w:eastAsia="Times New Roman" w:cs="Calibri Light"/>
                <w:szCs w:val="22"/>
                <w:lang w:eastAsia="en-GB"/>
              </w:rPr>
            </w:pPr>
            <w:r w:rsidRPr="00856E8F">
              <w:rPr>
                <w:rFonts w:eastAsia="Times New Roman" w:cs="Calibri Light"/>
                <w:b/>
                <w:szCs w:val="22"/>
                <w:lang w:eastAsia="en-GB"/>
              </w:rPr>
              <w:t>Status</w:t>
            </w:r>
          </w:p>
        </w:tc>
        <w:tc>
          <w:tcPr>
            <w:tcW w:w="6095" w:type="dxa"/>
            <w:vAlign w:val="center"/>
          </w:tcPr>
          <w:p w14:paraId="474F169F" w14:textId="1C7D373A" w:rsidR="00856E8F" w:rsidRPr="00856E8F" w:rsidRDefault="00856E8F" w:rsidP="00856E8F">
            <w:pPr>
              <w:spacing w:before="0" w:after="0"/>
              <w:jc w:val="center"/>
              <w:rPr>
                <w:rFonts w:eastAsia="Times New Roman" w:cs="Calibri Light"/>
                <w:b/>
                <w:szCs w:val="22"/>
                <w:lang w:eastAsia="en-GB"/>
              </w:rPr>
            </w:pPr>
            <w:r w:rsidRPr="00856E8F">
              <w:rPr>
                <w:rFonts w:eastAsia="Times New Roman" w:cs="Calibri Light"/>
                <w:b/>
                <w:szCs w:val="22"/>
                <w:lang w:eastAsia="en-GB"/>
              </w:rPr>
              <w:t>Activities</w:t>
            </w:r>
          </w:p>
        </w:tc>
        <w:tc>
          <w:tcPr>
            <w:tcW w:w="2552" w:type="dxa"/>
            <w:vAlign w:val="center"/>
          </w:tcPr>
          <w:p w14:paraId="4023BC16" w14:textId="5365D9D2" w:rsidR="00856E8F" w:rsidRPr="00856E8F" w:rsidRDefault="00856E8F" w:rsidP="00856E8F">
            <w:pPr>
              <w:spacing w:before="0" w:after="0"/>
              <w:jc w:val="center"/>
              <w:rPr>
                <w:rFonts w:eastAsia="Times New Roman" w:cs="Calibri Light"/>
                <w:b/>
                <w:szCs w:val="22"/>
                <w:lang w:eastAsia="en-GB"/>
              </w:rPr>
            </w:pPr>
            <w:r>
              <w:rPr>
                <w:b/>
                <w:szCs w:val="22"/>
              </w:rPr>
              <w:t xml:space="preserve">Indicators &amp; </w:t>
            </w:r>
            <w:r w:rsidRPr="00856E8F">
              <w:rPr>
                <w:b/>
                <w:szCs w:val="22"/>
              </w:rPr>
              <w:t>Source</w:t>
            </w:r>
            <w:r>
              <w:rPr>
                <w:b/>
                <w:szCs w:val="22"/>
              </w:rPr>
              <w:t>s</w:t>
            </w:r>
            <w:r w:rsidRPr="00856E8F">
              <w:rPr>
                <w:b/>
                <w:szCs w:val="22"/>
              </w:rPr>
              <w:t xml:space="preserve"> of Verification</w:t>
            </w:r>
          </w:p>
        </w:tc>
        <w:tc>
          <w:tcPr>
            <w:tcW w:w="1559" w:type="dxa"/>
            <w:vAlign w:val="center"/>
          </w:tcPr>
          <w:p w14:paraId="35F3682B" w14:textId="6D10DCF3" w:rsidR="00856E8F" w:rsidRPr="00856E8F" w:rsidRDefault="00856E8F" w:rsidP="00856E8F">
            <w:pPr>
              <w:spacing w:before="0" w:after="0"/>
              <w:jc w:val="center"/>
              <w:rPr>
                <w:rFonts w:eastAsia="Times New Roman" w:cs="Calibri Light"/>
                <w:b/>
                <w:szCs w:val="22"/>
                <w:lang w:eastAsia="en-GB"/>
              </w:rPr>
            </w:pPr>
            <w:r w:rsidRPr="00856E8F">
              <w:rPr>
                <w:b/>
                <w:szCs w:val="22"/>
              </w:rPr>
              <w:t xml:space="preserve">Required Budget </w:t>
            </w:r>
            <w:r>
              <w:rPr>
                <w:b/>
                <w:szCs w:val="22"/>
              </w:rPr>
              <w:t>&amp;</w:t>
            </w:r>
            <w:r w:rsidRPr="00856E8F">
              <w:rPr>
                <w:b/>
                <w:szCs w:val="22"/>
              </w:rPr>
              <w:t xml:space="preserve"> Resources</w:t>
            </w:r>
          </w:p>
        </w:tc>
        <w:tc>
          <w:tcPr>
            <w:tcW w:w="3167" w:type="dxa"/>
            <w:gridSpan w:val="5"/>
            <w:vAlign w:val="center"/>
          </w:tcPr>
          <w:p w14:paraId="55EFFABC" w14:textId="079E74E0" w:rsidR="00856E8F" w:rsidRPr="00856E8F" w:rsidRDefault="00856E8F" w:rsidP="00856E8F">
            <w:pPr>
              <w:spacing w:before="0" w:after="0"/>
              <w:jc w:val="center"/>
              <w:rPr>
                <w:rFonts w:eastAsia="Times New Roman" w:cs="Calibri Light"/>
                <w:b/>
                <w:szCs w:val="22"/>
                <w:lang w:eastAsia="en-GB"/>
              </w:rPr>
            </w:pPr>
            <w:r w:rsidRPr="00856E8F">
              <w:rPr>
                <w:rFonts w:cs="Calibri Light"/>
                <w:b/>
                <w:szCs w:val="22"/>
              </w:rPr>
              <w:t>Proposed Timeline</w:t>
            </w:r>
          </w:p>
        </w:tc>
      </w:tr>
      <w:tr w:rsidR="00856E8F" w:rsidRPr="00856E8F" w14:paraId="620F1ED4" w14:textId="77777777" w:rsidTr="004805A9">
        <w:tc>
          <w:tcPr>
            <w:tcW w:w="14879" w:type="dxa"/>
            <w:gridSpan w:val="4"/>
            <w:vMerge w:val="restart"/>
            <w:shd w:val="clear" w:color="auto" w:fill="C6D9F1" w:themeFill="text2" w:themeFillTint="33"/>
            <w:vAlign w:val="center"/>
          </w:tcPr>
          <w:p w14:paraId="0590CC04" w14:textId="2D338FF8" w:rsidR="00856E8F" w:rsidRPr="00856E8F" w:rsidRDefault="00856E8F" w:rsidP="00856E8F">
            <w:pPr>
              <w:spacing w:before="0" w:after="0"/>
              <w:rPr>
                <w:rFonts w:eastAsia="Times New Roman" w:cs="Calibri Light"/>
                <w:szCs w:val="22"/>
                <w:lang w:eastAsia="en-GB"/>
              </w:rPr>
            </w:pPr>
            <w:r w:rsidRPr="00897A21">
              <w:rPr>
                <w:i/>
              </w:rPr>
              <w:t>Output 1</w:t>
            </w:r>
            <w:r w:rsidRPr="00897A21">
              <w:t xml:space="preserve">: </w:t>
            </w:r>
            <w:r w:rsidRPr="00BF5F6A">
              <w:t>Increased instances of implementation of the Voluntary Guidelines on Effective Triangular Co-operation in development programming.</w:t>
            </w:r>
          </w:p>
        </w:tc>
        <w:tc>
          <w:tcPr>
            <w:tcW w:w="760" w:type="dxa"/>
            <w:vAlign w:val="center"/>
          </w:tcPr>
          <w:p w14:paraId="11FA7434" w14:textId="358A5A76"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2020</w:t>
            </w:r>
          </w:p>
        </w:tc>
        <w:tc>
          <w:tcPr>
            <w:tcW w:w="1203" w:type="dxa"/>
            <w:gridSpan w:val="2"/>
            <w:vAlign w:val="center"/>
          </w:tcPr>
          <w:p w14:paraId="5048AE94" w14:textId="189E0716"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2021</w:t>
            </w:r>
          </w:p>
        </w:tc>
        <w:tc>
          <w:tcPr>
            <w:tcW w:w="1204" w:type="dxa"/>
            <w:gridSpan w:val="2"/>
            <w:vAlign w:val="center"/>
          </w:tcPr>
          <w:p w14:paraId="1EEF6C01" w14:textId="026E0E88"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2022</w:t>
            </w:r>
          </w:p>
        </w:tc>
      </w:tr>
      <w:tr w:rsidR="00856E8F" w:rsidRPr="00856E8F" w14:paraId="62C43CFA" w14:textId="77777777" w:rsidTr="004805A9">
        <w:tc>
          <w:tcPr>
            <w:tcW w:w="14879" w:type="dxa"/>
            <w:gridSpan w:val="4"/>
            <w:vMerge/>
            <w:shd w:val="clear" w:color="auto" w:fill="C6D9F1" w:themeFill="text2" w:themeFillTint="33"/>
            <w:vAlign w:val="center"/>
          </w:tcPr>
          <w:p w14:paraId="2A367861" w14:textId="77777777" w:rsidR="00856E8F" w:rsidRPr="00856E8F" w:rsidRDefault="00856E8F" w:rsidP="00856E8F">
            <w:pPr>
              <w:spacing w:before="0" w:after="0"/>
              <w:rPr>
                <w:rFonts w:eastAsia="Times New Roman" w:cs="Calibri Light"/>
                <w:szCs w:val="22"/>
                <w:lang w:eastAsia="en-GB"/>
              </w:rPr>
            </w:pPr>
          </w:p>
        </w:tc>
        <w:tc>
          <w:tcPr>
            <w:tcW w:w="760" w:type="dxa"/>
            <w:vAlign w:val="center"/>
          </w:tcPr>
          <w:p w14:paraId="16DD94CD" w14:textId="01118C6D"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S2</w:t>
            </w:r>
          </w:p>
        </w:tc>
        <w:tc>
          <w:tcPr>
            <w:tcW w:w="602" w:type="dxa"/>
            <w:vAlign w:val="center"/>
          </w:tcPr>
          <w:p w14:paraId="4DA24048" w14:textId="705FB508"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S1</w:t>
            </w:r>
          </w:p>
        </w:tc>
        <w:tc>
          <w:tcPr>
            <w:tcW w:w="601" w:type="dxa"/>
            <w:vAlign w:val="center"/>
          </w:tcPr>
          <w:p w14:paraId="6488F2C1" w14:textId="37D51DA5"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S2</w:t>
            </w:r>
          </w:p>
        </w:tc>
        <w:tc>
          <w:tcPr>
            <w:tcW w:w="602" w:type="dxa"/>
            <w:vAlign w:val="center"/>
          </w:tcPr>
          <w:p w14:paraId="5B3F31C4" w14:textId="7C2AD0FD"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S1</w:t>
            </w:r>
          </w:p>
        </w:tc>
        <w:tc>
          <w:tcPr>
            <w:tcW w:w="602" w:type="dxa"/>
            <w:vAlign w:val="center"/>
          </w:tcPr>
          <w:p w14:paraId="06B4D7B7" w14:textId="044455AD" w:rsidR="00856E8F" w:rsidRPr="00856E8F" w:rsidRDefault="00856E8F" w:rsidP="004F16B7">
            <w:pPr>
              <w:spacing w:before="0" w:after="0"/>
              <w:jc w:val="center"/>
              <w:rPr>
                <w:rFonts w:eastAsia="Times New Roman" w:cs="Calibri Light"/>
                <w:szCs w:val="22"/>
                <w:lang w:eastAsia="en-GB"/>
              </w:rPr>
            </w:pPr>
            <w:r w:rsidRPr="00856E8F">
              <w:rPr>
                <w:rFonts w:eastAsia="Times New Roman" w:cs="Calibri Light"/>
                <w:szCs w:val="22"/>
                <w:lang w:eastAsia="en-GB"/>
              </w:rPr>
              <w:t>S2</w:t>
            </w:r>
          </w:p>
        </w:tc>
      </w:tr>
      <w:tr w:rsidR="00856E8F" w:rsidRPr="00856E8F" w14:paraId="1962DE16" w14:textId="77777777" w:rsidTr="004805A9">
        <w:tc>
          <w:tcPr>
            <w:tcW w:w="4673" w:type="dxa"/>
            <w:vAlign w:val="center"/>
          </w:tcPr>
          <w:p w14:paraId="1D643730" w14:textId="326E6E65" w:rsidR="00856E8F" w:rsidRPr="00DF161B" w:rsidRDefault="00856E8F" w:rsidP="00DF161B">
            <w:pPr>
              <w:pStyle w:val="ListParagraph"/>
              <w:numPr>
                <w:ilvl w:val="0"/>
                <w:numId w:val="24"/>
              </w:numPr>
              <w:spacing w:before="0" w:after="0"/>
              <w:rPr>
                <w:rFonts w:eastAsia="Times New Roman" w:cs="Calibri Light"/>
                <w:szCs w:val="22"/>
                <w:lang w:eastAsia="en-GB"/>
              </w:rPr>
            </w:pPr>
            <w:r w:rsidRPr="00DF161B">
              <w:rPr>
                <w:rFonts w:eastAsia="Times New Roman" w:cs="Calibri Light"/>
                <w:szCs w:val="22"/>
                <w:lang w:eastAsia="en-GB"/>
              </w:rPr>
              <w:t>ToRs drafted</w:t>
            </w:r>
            <w:r w:rsidR="00DF161B">
              <w:rPr>
                <w:rFonts w:eastAsia="Times New Roman" w:cs="Calibri Light"/>
                <w:szCs w:val="22"/>
                <w:lang w:eastAsia="en-GB"/>
              </w:rPr>
              <w:t>, July 2020</w:t>
            </w:r>
          </w:p>
        </w:tc>
        <w:tc>
          <w:tcPr>
            <w:tcW w:w="6095" w:type="dxa"/>
            <w:vAlign w:val="center"/>
          </w:tcPr>
          <w:p w14:paraId="28A5E349" w14:textId="4A1EC0E1" w:rsidR="00856E8F" w:rsidRPr="004805A9" w:rsidRDefault="00856E8F" w:rsidP="004805A9">
            <w:pPr>
              <w:spacing w:before="0" w:after="0"/>
              <w:rPr>
                <w:rFonts w:eastAsia="Times New Roman" w:cs="Calibri Light"/>
                <w:b/>
                <w:szCs w:val="22"/>
                <w:lang w:eastAsia="en-GB"/>
              </w:rPr>
            </w:pPr>
            <w:r w:rsidRPr="004805A9">
              <w:rPr>
                <w:b/>
              </w:rPr>
              <w:t xml:space="preserve">Commission a video animation </w:t>
            </w:r>
            <w:r w:rsidRPr="004805A9">
              <w:t>on the Voluntary Guidelines</w:t>
            </w:r>
            <w:r w:rsidR="004F16B7" w:rsidRPr="004805A9">
              <w:rPr>
                <w:rStyle w:val="FootnoteReference"/>
              </w:rPr>
              <w:footnoteReference w:id="1"/>
            </w:r>
            <w:r w:rsidR="004E545E" w:rsidRPr="004E545E">
              <w:t>.</w:t>
            </w:r>
          </w:p>
        </w:tc>
        <w:tc>
          <w:tcPr>
            <w:tcW w:w="2552" w:type="dxa"/>
            <w:vMerge w:val="restart"/>
            <w:vAlign w:val="center"/>
          </w:tcPr>
          <w:p w14:paraId="29B35A9A" w14:textId="4E980CC0" w:rsidR="00856E8F" w:rsidRPr="00156F22" w:rsidRDefault="00856E8F" w:rsidP="00856E8F">
            <w:pPr>
              <w:spacing w:before="0" w:after="0"/>
            </w:pPr>
            <w:r w:rsidRPr="00156F22">
              <w:t># of pilots</w:t>
            </w:r>
            <w:r w:rsidR="004805A9">
              <w:t xml:space="preserve"> </w:t>
            </w:r>
          </w:p>
          <w:p w14:paraId="180046D6" w14:textId="783E038B" w:rsidR="00856E8F" w:rsidRPr="002A6FB9" w:rsidRDefault="00856E8F" w:rsidP="00856E8F">
            <w:pPr>
              <w:spacing w:before="0" w:after="0"/>
            </w:pPr>
            <w:r w:rsidRPr="00156F22">
              <w:t xml:space="preserve"># of </w:t>
            </w:r>
            <w:r w:rsidRPr="002A6FB9">
              <w:t>events where pilot</w:t>
            </w:r>
            <w:r w:rsidR="00F15FFC" w:rsidRPr="002A6FB9">
              <w:t xml:space="preserve"> findings</w:t>
            </w:r>
            <w:r w:rsidRPr="002A6FB9">
              <w:t xml:space="preserve"> are shared</w:t>
            </w:r>
            <w:r w:rsidR="00F15FFC" w:rsidRPr="002A6FB9">
              <w:t>/discussed</w:t>
            </w:r>
          </w:p>
          <w:p w14:paraId="6CC9042E" w14:textId="6C0C14CC" w:rsidR="00F15FFC" w:rsidRDefault="00F15FFC" w:rsidP="00F15FFC">
            <w:pPr>
              <w:spacing w:before="0" w:after="0"/>
            </w:pPr>
            <w:r w:rsidRPr="002A6FB9">
              <w:t xml:space="preserve"># of </w:t>
            </w:r>
            <w:r w:rsidR="00621DD2" w:rsidRPr="002A6FB9">
              <w:t>site</w:t>
            </w:r>
            <w:r w:rsidRPr="002A6FB9">
              <w:t xml:space="preserve"> visits </w:t>
            </w:r>
            <w:r w:rsidR="00621DD2" w:rsidRPr="002A6FB9">
              <w:t xml:space="preserve">and </w:t>
            </w:r>
            <w:r w:rsidR="002A6FB9" w:rsidRPr="002A6FB9">
              <w:t xml:space="preserve">resource </w:t>
            </w:r>
            <w:r w:rsidR="00621DD2" w:rsidRPr="002A6FB9">
              <w:t>downloads</w:t>
            </w:r>
          </w:p>
          <w:p w14:paraId="06880BFE" w14:textId="77777777" w:rsidR="001621FB" w:rsidRDefault="001621FB" w:rsidP="004805A9">
            <w:pPr>
              <w:spacing w:before="0" w:after="0"/>
              <w:rPr>
                <w:i/>
              </w:rPr>
            </w:pPr>
          </w:p>
          <w:p w14:paraId="7F0D3FDB" w14:textId="4688BB58" w:rsidR="00856E8F" w:rsidRPr="00F314FC" w:rsidRDefault="00F15FFC" w:rsidP="004805A9">
            <w:pPr>
              <w:spacing w:before="0" w:after="0"/>
            </w:pPr>
            <w:r w:rsidRPr="002A6FB9">
              <w:rPr>
                <w:i/>
              </w:rPr>
              <w:t>Source of Verification</w:t>
            </w:r>
            <w:r w:rsidR="00856E8F" w:rsidRPr="00156F22">
              <w:t>:</w:t>
            </w:r>
            <w:r w:rsidR="002A6FB9">
              <w:t xml:space="preserve"> triangular resources, event programs, </w:t>
            </w:r>
            <w:r w:rsidR="00856E8F" w:rsidRPr="00156F22">
              <w:t>project reports</w:t>
            </w:r>
            <w:r w:rsidR="002A6FB9">
              <w:t xml:space="preserve">, </w:t>
            </w:r>
            <w:r w:rsidR="00621DD2">
              <w:t>GPEDC web traffic</w:t>
            </w:r>
            <w:r w:rsidR="00856E8F" w:rsidRPr="00156F22">
              <w:t xml:space="preserve"> </w:t>
            </w:r>
          </w:p>
        </w:tc>
        <w:tc>
          <w:tcPr>
            <w:tcW w:w="1559" w:type="dxa"/>
            <w:vAlign w:val="center"/>
          </w:tcPr>
          <w:p w14:paraId="3A57BAAE" w14:textId="6A50067C" w:rsidR="00856E8F" w:rsidRPr="00856E8F" w:rsidRDefault="00856E8F" w:rsidP="00856E8F">
            <w:pPr>
              <w:spacing w:before="0" w:after="0"/>
              <w:rPr>
                <w:rFonts w:eastAsia="Times New Roman" w:cs="Calibri Light"/>
                <w:szCs w:val="22"/>
                <w:lang w:eastAsia="en-GB"/>
              </w:rPr>
            </w:pPr>
            <w:r>
              <w:rPr>
                <w:rFonts w:eastAsia="Times New Roman" w:cs="Calibri Light"/>
                <w:szCs w:val="22"/>
                <w:lang w:eastAsia="en-GB"/>
              </w:rPr>
              <w:t>Consultant - &lt;$25,000 CAD</w:t>
            </w:r>
          </w:p>
        </w:tc>
        <w:tc>
          <w:tcPr>
            <w:tcW w:w="760" w:type="dxa"/>
            <w:vAlign w:val="center"/>
          </w:tcPr>
          <w:p w14:paraId="3FFC2D92" w14:textId="10C4C772" w:rsidR="00856E8F"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486D203E" w14:textId="77777777" w:rsidR="00856E8F" w:rsidRPr="00856E8F" w:rsidRDefault="00856E8F" w:rsidP="004F16B7">
            <w:pPr>
              <w:spacing w:before="0" w:after="0"/>
              <w:jc w:val="center"/>
              <w:rPr>
                <w:rFonts w:eastAsia="Times New Roman" w:cs="Calibri Light"/>
                <w:szCs w:val="22"/>
                <w:lang w:eastAsia="en-GB"/>
              </w:rPr>
            </w:pPr>
          </w:p>
        </w:tc>
        <w:tc>
          <w:tcPr>
            <w:tcW w:w="601" w:type="dxa"/>
            <w:vAlign w:val="center"/>
          </w:tcPr>
          <w:p w14:paraId="1D7ABB13" w14:textId="77777777" w:rsidR="00856E8F" w:rsidRPr="00856E8F" w:rsidRDefault="00856E8F" w:rsidP="004F16B7">
            <w:pPr>
              <w:spacing w:before="0" w:after="0"/>
              <w:jc w:val="center"/>
              <w:rPr>
                <w:rFonts w:eastAsia="Times New Roman" w:cs="Calibri Light"/>
                <w:szCs w:val="22"/>
                <w:lang w:eastAsia="en-GB"/>
              </w:rPr>
            </w:pPr>
          </w:p>
        </w:tc>
        <w:tc>
          <w:tcPr>
            <w:tcW w:w="602" w:type="dxa"/>
            <w:vAlign w:val="center"/>
          </w:tcPr>
          <w:p w14:paraId="0867857F" w14:textId="77777777" w:rsidR="00856E8F" w:rsidRPr="00856E8F" w:rsidRDefault="00856E8F" w:rsidP="004F16B7">
            <w:pPr>
              <w:spacing w:before="0" w:after="0"/>
              <w:jc w:val="center"/>
              <w:rPr>
                <w:rFonts w:eastAsia="Times New Roman" w:cs="Calibri Light"/>
                <w:szCs w:val="22"/>
                <w:lang w:eastAsia="en-GB"/>
              </w:rPr>
            </w:pPr>
          </w:p>
        </w:tc>
        <w:tc>
          <w:tcPr>
            <w:tcW w:w="602" w:type="dxa"/>
            <w:vAlign w:val="center"/>
          </w:tcPr>
          <w:p w14:paraId="52A18472" w14:textId="61276936" w:rsidR="00856E8F" w:rsidRPr="00856E8F" w:rsidRDefault="00856E8F" w:rsidP="004F16B7">
            <w:pPr>
              <w:spacing w:before="0" w:after="0"/>
              <w:jc w:val="center"/>
              <w:rPr>
                <w:rFonts w:eastAsia="Times New Roman" w:cs="Calibri Light"/>
                <w:szCs w:val="22"/>
                <w:lang w:eastAsia="en-GB"/>
              </w:rPr>
            </w:pPr>
          </w:p>
        </w:tc>
      </w:tr>
      <w:tr w:rsidR="00F314FC" w:rsidRPr="00856E8F" w14:paraId="37E9751B" w14:textId="77777777" w:rsidTr="004805A9">
        <w:tc>
          <w:tcPr>
            <w:tcW w:w="4673" w:type="dxa"/>
            <w:vAlign w:val="center"/>
          </w:tcPr>
          <w:p w14:paraId="6D04D0EE" w14:textId="57008D5B" w:rsidR="00DF161B" w:rsidRDefault="00F314FC" w:rsidP="00DF161B">
            <w:pPr>
              <w:pStyle w:val="ListParagraph"/>
              <w:numPr>
                <w:ilvl w:val="0"/>
                <w:numId w:val="25"/>
              </w:numPr>
              <w:spacing w:before="0" w:after="0"/>
              <w:rPr>
                <w:rFonts w:eastAsia="Times New Roman" w:cs="Calibri Light"/>
                <w:szCs w:val="22"/>
                <w:lang w:eastAsia="en-GB"/>
              </w:rPr>
            </w:pPr>
            <w:r w:rsidRPr="00DF161B">
              <w:rPr>
                <w:rFonts w:eastAsia="Times New Roman" w:cs="Calibri Light"/>
                <w:szCs w:val="22"/>
                <w:lang w:eastAsia="en-GB"/>
              </w:rPr>
              <w:t>Methodology drafted</w:t>
            </w:r>
            <w:r w:rsidR="00DF161B" w:rsidRPr="00DF161B">
              <w:rPr>
                <w:rFonts w:eastAsia="Times New Roman" w:cs="Calibri Light"/>
                <w:szCs w:val="22"/>
                <w:lang w:eastAsia="en-GB"/>
              </w:rPr>
              <w:t>, June 2020</w:t>
            </w:r>
          </w:p>
          <w:p w14:paraId="09F0BCD1" w14:textId="1026BC35" w:rsidR="00F314FC" w:rsidRPr="00DF161B" w:rsidRDefault="00F314FC" w:rsidP="00215828">
            <w:pPr>
              <w:pStyle w:val="ListParagraph"/>
              <w:numPr>
                <w:ilvl w:val="0"/>
                <w:numId w:val="25"/>
              </w:numPr>
              <w:spacing w:before="0" w:after="0"/>
              <w:rPr>
                <w:rFonts w:eastAsia="Times New Roman" w:cs="Calibri Light"/>
                <w:szCs w:val="22"/>
                <w:lang w:eastAsia="en-GB"/>
              </w:rPr>
            </w:pPr>
            <w:r w:rsidRPr="00DF161B">
              <w:rPr>
                <w:rFonts w:eastAsia="Times New Roman" w:cs="Calibri Light"/>
                <w:szCs w:val="22"/>
                <w:lang w:eastAsia="en-GB"/>
              </w:rPr>
              <w:t>May need to be updated once GPE</w:t>
            </w:r>
            <w:r w:rsidR="00215828">
              <w:rPr>
                <w:rFonts w:eastAsia="Times New Roman" w:cs="Calibri Light"/>
                <w:szCs w:val="22"/>
                <w:lang w:eastAsia="en-GB"/>
              </w:rPr>
              <w:t>DC Co-Chair country outreach has been completed</w:t>
            </w:r>
          </w:p>
        </w:tc>
        <w:tc>
          <w:tcPr>
            <w:tcW w:w="6095" w:type="dxa"/>
            <w:vAlign w:val="center"/>
          </w:tcPr>
          <w:p w14:paraId="73884410" w14:textId="79BE277A" w:rsidR="00F314FC" w:rsidRPr="004805A9" w:rsidRDefault="00F314FC" w:rsidP="00856E8F">
            <w:pPr>
              <w:spacing w:before="0" w:after="0"/>
              <w:rPr>
                <w:b/>
              </w:rPr>
            </w:pPr>
            <w:r w:rsidRPr="004805A9">
              <w:rPr>
                <w:b/>
              </w:rPr>
              <w:t xml:space="preserve">Develop a methodology </w:t>
            </w:r>
            <w:r w:rsidRPr="004805A9">
              <w:t xml:space="preserve">to identify, select, process, implement and </w:t>
            </w:r>
            <w:r w:rsidR="004805A9" w:rsidRPr="004805A9">
              <w:t>analyse pilots</w:t>
            </w:r>
            <w:r w:rsidR="004E545E">
              <w:t>.</w:t>
            </w:r>
          </w:p>
        </w:tc>
        <w:tc>
          <w:tcPr>
            <w:tcW w:w="2552" w:type="dxa"/>
            <w:vMerge/>
            <w:vAlign w:val="center"/>
          </w:tcPr>
          <w:p w14:paraId="4DA8051C" w14:textId="77777777" w:rsidR="00F314FC" w:rsidRPr="00856E8F" w:rsidRDefault="00F314FC" w:rsidP="00856E8F">
            <w:pPr>
              <w:spacing w:before="0" w:after="0"/>
              <w:rPr>
                <w:rFonts w:eastAsia="Times New Roman" w:cs="Calibri Light"/>
                <w:szCs w:val="22"/>
                <w:lang w:eastAsia="en-GB"/>
              </w:rPr>
            </w:pPr>
          </w:p>
        </w:tc>
        <w:tc>
          <w:tcPr>
            <w:tcW w:w="1559" w:type="dxa"/>
            <w:vMerge w:val="restart"/>
            <w:vAlign w:val="center"/>
          </w:tcPr>
          <w:p w14:paraId="41D8E135" w14:textId="35FC0F95" w:rsidR="00F314FC" w:rsidRPr="00856E8F" w:rsidRDefault="00F314FC" w:rsidP="00F314FC">
            <w:pPr>
              <w:spacing w:before="0" w:after="0"/>
              <w:rPr>
                <w:rFonts w:eastAsia="Times New Roman" w:cs="Calibri Light"/>
                <w:szCs w:val="22"/>
                <w:lang w:eastAsia="en-GB"/>
              </w:rPr>
            </w:pPr>
            <w:r>
              <w:rPr>
                <w:rFonts w:eastAsia="Times New Roman" w:cs="Calibri Light"/>
                <w:szCs w:val="22"/>
                <w:lang w:eastAsia="en-GB"/>
              </w:rPr>
              <w:t>In-house.</w:t>
            </w:r>
          </w:p>
        </w:tc>
        <w:tc>
          <w:tcPr>
            <w:tcW w:w="760" w:type="dxa"/>
            <w:vAlign w:val="center"/>
          </w:tcPr>
          <w:p w14:paraId="06FB729D" w14:textId="2DBCF141"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7768A688" w14:textId="1E490BB5"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1" w:type="dxa"/>
            <w:vAlign w:val="center"/>
          </w:tcPr>
          <w:p w14:paraId="04C9A3C6"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469C99DA"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38448685" w14:textId="17A7447F" w:rsidR="00F314FC" w:rsidRPr="00856E8F" w:rsidRDefault="00F314FC" w:rsidP="004F16B7">
            <w:pPr>
              <w:spacing w:before="0" w:after="0"/>
              <w:jc w:val="center"/>
              <w:rPr>
                <w:rFonts w:eastAsia="Times New Roman" w:cs="Calibri Light"/>
                <w:szCs w:val="22"/>
                <w:lang w:eastAsia="en-GB"/>
              </w:rPr>
            </w:pPr>
          </w:p>
        </w:tc>
      </w:tr>
      <w:tr w:rsidR="00F314FC" w:rsidRPr="00856E8F" w14:paraId="0511413E" w14:textId="77777777" w:rsidTr="004805A9">
        <w:tc>
          <w:tcPr>
            <w:tcW w:w="4673" w:type="dxa"/>
            <w:vAlign w:val="center"/>
          </w:tcPr>
          <w:p w14:paraId="11812CC6" w14:textId="2EF87761" w:rsidR="00F314FC" w:rsidRPr="00DF161B" w:rsidRDefault="00F314FC" w:rsidP="00DF161B">
            <w:pPr>
              <w:pStyle w:val="ListParagraph"/>
              <w:numPr>
                <w:ilvl w:val="0"/>
                <w:numId w:val="26"/>
              </w:numPr>
              <w:spacing w:before="0" w:after="0"/>
              <w:rPr>
                <w:rFonts w:eastAsia="Times New Roman" w:cs="Calibri Light"/>
                <w:szCs w:val="22"/>
                <w:lang w:eastAsia="en-GB"/>
              </w:rPr>
            </w:pPr>
          </w:p>
        </w:tc>
        <w:tc>
          <w:tcPr>
            <w:tcW w:w="6095" w:type="dxa"/>
            <w:vAlign w:val="center"/>
          </w:tcPr>
          <w:p w14:paraId="239F6958" w14:textId="4FC49425" w:rsidR="00F314FC" w:rsidRPr="004805A9" w:rsidRDefault="00F314FC" w:rsidP="004805A9">
            <w:pPr>
              <w:spacing w:before="0" w:after="0"/>
              <w:rPr>
                <w:b/>
              </w:rPr>
            </w:pPr>
            <w:r w:rsidRPr="004805A9">
              <w:rPr>
                <w:b/>
              </w:rPr>
              <w:t xml:space="preserve">Pilot implementation of the Voluntary Guidelines </w:t>
            </w:r>
            <w:r w:rsidRPr="004805A9">
              <w:t>in new and existing triangular co-operation projects</w:t>
            </w:r>
            <w:r w:rsidRPr="004805A9">
              <w:rPr>
                <w:rStyle w:val="FootnoteReference"/>
              </w:rPr>
              <w:footnoteReference w:id="2"/>
            </w:r>
            <w:r w:rsidR="004E545E" w:rsidRPr="004E545E">
              <w:t>.</w:t>
            </w:r>
          </w:p>
        </w:tc>
        <w:tc>
          <w:tcPr>
            <w:tcW w:w="2552" w:type="dxa"/>
            <w:vMerge/>
            <w:vAlign w:val="center"/>
          </w:tcPr>
          <w:p w14:paraId="35991E66" w14:textId="77777777" w:rsidR="00F314FC" w:rsidRPr="00856E8F" w:rsidRDefault="00F314FC" w:rsidP="00856E8F">
            <w:pPr>
              <w:spacing w:before="0" w:after="0"/>
              <w:rPr>
                <w:rFonts w:eastAsia="Times New Roman" w:cs="Calibri Light"/>
                <w:szCs w:val="22"/>
                <w:lang w:eastAsia="en-GB"/>
              </w:rPr>
            </w:pPr>
          </w:p>
        </w:tc>
        <w:tc>
          <w:tcPr>
            <w:tcW w:w="1559" w:type="dxa"/>
            <w:vMerge/>
            <w:vAlign w:val="center"/>
          </w:tcPr>
          <w:p w14:paraId="4E300931" w14:textId="4252A50B" w:rsidR="00F314FC" w:rsidRPr="00856E8F" w:rsidRDefault="00F314FC" w:rsidP="00856E8F">
            <w:pPr>
              <w:spacing w:before="0" w:after="0"/>
              <w:rPr>
                <w:rFonts w:eastAsia="Times New Roman" w:cs="Calibri Light"/>
                <w:szCs w:val="22"/>
                <w:lang w:eastAsia="en-GB"/>
              </w:rPr>
            </w:pPr>
          </w:p>
        </w:tc>
        <w:tc>
          <w:tcPr>
            <w:tcW w:w="760" w:type="dxa"/>
            <w:vAlign w:val="center"/>
          </w:tcPr>
          <w:p w14:paraId="0BF59E8D"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68D037C6" w14:textId="42BC4913"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1" w:type="dxa"/>
            <w:vAlign w:val="center"/>
          </w:tcPr>
          <w:p w14:paraId="16F89BBF" w14:textId="6497D95F"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5A7BA8AE" w14:textId="7981CFA9"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23DD8A59" w14:textId="30216392" w:rsidR="00F314FC" w:rsidRPr="00856E8F" w:rsidRDefault="00F314FC" w:rsidP="004F16B7">
            <w:pPr>
              <w:spacing w:before="0" w:after="0"/>
              <w:jc w:val="center"/>
              <w:rPr>
                <w:rFonts w:eastAsia="Times New Roman" w:cs="Calibri Light"/>
                <w:szCs w:val="22"/>
                <w:lang w:eastAsia="en-GB"/>
              </w:rPr>
            </w:pPr>
          </w:p>
        </w:tc>
      </w:tr>
      <w:tr w:rsidR="00F314FC" w:rsidRPr="00856E8F" w14:paraId="2B331EDD" w14:textId="77777777" w:rsidTr="004805A9">
        <w:tc>
          <w:tcPr>
            <w:tcW w:w="4673" w:type="dxa"/>
            <w:vAlign w:val="center"/>
          </w:tcPr>
          <w:p w14:paraId="672962DF" w14:textId="0D08850E" w:rsidR="00F314FC" w:rsidRPr="00DF161B" w:rsidRDefault="00F314FC" w:rsidP="00DF161B">
            <w:pPr>
              <w:pStyle w:val="ListParagraph"/>
              <w:numPr>
                <w:ilvl w:val="0"/>
                <w:numId w:val="26"/>
              </w:numPr>
              <w:spacing w:before="0" w:after="0"/>
              <w:rPr>
                <w:rFonts w:eastAsia="Times New Roman" w:cs="Calibri Light"/>
                <w:szCs w:val="22"/>
                <w:lang w:eastAsia="en-GB"/>
              </w:rPr>
            </w:pPr>
          </w:p>
        </w:tc>
        <w:tc>
          <w:tcPr>
            <w:tcW w:w="6095" w:type="dxa"/>
            <w:vAlign w:val="center"/>
          </w:tcPr>
          <w:p w14:paraId="39C2FB19" w14:textId="09DAFE0E" w:rsidR="00F314FC" w:rsidRPr="004805A9" w:rsidRDefault="004805A9" w:rsidP="004805A9">
            <w:pPr>
              <w:spacing w:before="0" w:after="0"/>
              <w:rPr>
                <w:b/>
              </w:rPr>
            </w:pPr>
            <w:r w:rsidRPr="004805A9">
              <w:t>Work with the GPI to</w:t>
            </w:r>
            <w:r>
              <w:rPr>
                <w:b/>
              </w:rPr>
              <w:t xml:space="preserve"> d</w:t>
            </w:r>
            <w:r w:rsidR="00F314FC" w:rsidRPr="004805A9">
              <w:rPr>
                <w:b/>
              </w:rPr>
              <w:t xml:space="preserve">evelop guidance from findings </w:t>
            </w:r>
            <w:r w:rsidR="00F314FC" w:rsidRPr="004805A9">
              <w:t>(</w:t>
            </w:r>
            <w:r>
              <w:t xml:space="preserve">i.e. </w:t>
            </w:r>
            <w:r w:rsidR="00F314FC" w:rsidRPr="004805A9">
              <w:t>lessons learned, best practices and or standard operating procedu</w:t>
            </w:r>
            <w:r>
              <w:t>res for different stakeholders)</w:t>
            </w:r>
            <w:r w:rsidR="004E545E">
              <w:t>.</w:t>
            </w:r>
          </w:p>
        </w:tc>
        <w:tc>
          <w:tcPr>
            <w:tcW w:w="2552" w:type="dxa"/>
            <w:vMerge/>
            <w:vAlign w:val="center"/>
          </w:tcPr>
          <w:p w14:paraId="0827D21D" w14:textId="77777777" w:rsidR="00F314FC" w:rsidRPr="00856E8F" w:rsidRDefault="00F314FC" w:rsidP="00856E8F">
            <w:pPr>
              <w:spacing w:before="0" w:after="0"/>
              <w:rPr>
                <w:rFonts w:eastAsia="Times New Roman" w:cs="Calibri Light"/>
                <w:szCs w:val="22"/>
                <w:lang w:eastAsia="en-GB"/>
              </w:rPr>
            </w:pPr>
          </w:p>
        </w:tc>
        <w:tc>
          <w:tcPr>
            <w:tcW w:w="1559" w:type="dxa"/>
            <w:vMerge/>
            <w:vAlign w:val="center"/>
          </w:tcPr>
          <w:p w14:paraId="7AB468D1" w14:textId="1DBFF1A8" w:rsidR="00F314FC" w:rsidRPr="00856E8F" w:rsidRDefault="00F314FC" w:rsidP="00F314FC">
            <w:pPr>
              <w:spacing w:before="0" w:after="0"/>
              <w:rPr>
                <w:rFonts w:eastAsia="Times New Roman" w:cs="Calibri Light"/>
                <w:szCs w:val="22"/>
                <w:lang w:eastAsia="en-GB"/>
              </w:rPr>
            </w:pPr>
          </w:p>
        </w:tc>
        <w:tc>
          <w:tcPr>
            <w:tcW w:w="760" w:type="dxa"/>
            <w:vAlign w:val="center"/>
          </w:tcPr>
          <w:p w14:paraId="2CC57237"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2DBB6E1D" w14:textId="77777777" w:rsidR="00F314FC" w:rsidRPr="00856E8F" w:rsidRDefault="00F314FC" w:rsidP="004F16B7">
            <w:pPr>
              <w:spacing w:before="0" w:after="0"/>
              <w:jc w:val="center"/>
              <w:rPr>
                <w:rFonts w:eastAsia="Times New Roman" w:cs="Calibri Light"/>
                <w:szCs w:val="22"/>
                <w:lang w:eastAsia="en-GB"/>
              </w:rPr>
            </w:pPr>
          </w:p>
        </w:tc>
        <w:tc>
          <w:tcPr>
            <w:tcW w:w="601" w:type="dxa"/>
            <w:vAlign w:val="center"/>
          </w:tcPr>
          <w:p w14:paraId="0A7C28FA"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583CBB83" w14:textId="05538C0A"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7626024C" w14:textId="19D9FF28"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r>
      <w:tr w:rsidR="00F314FC" w:rsidRPr="00856E8F" w14:paraId="13B8ECC1" w14:textId="77777777" w:rsidTr="004805A9">
        <w:tc>
          <w:tcPr>
            <w:tcW w:w="4673" w:type="dxa"/>
            <w:vAlign w:val="center"/>
          </w:tcPr>
          <w:p w14:paraId="56158C17" w14:textId="1AE52223" w:rsidR="00F314FC" w:rsidRPr="00DF161B" w:rsidRDefault="00F314FC" w:rsidP="00DF161B">
            <w:pPr>
              <w:pStyle w:val="ListParagraph"/>
              <w:numPr>
                <w:ilvl w:val="0"/>
                <w:numId w:val="26"/>
              </w:numPr>
              <w:spacing w:before="0" w:after="0"/>
              <w:rPr>
                <w:rFonts w:eastAsia="Times New Roman" w:cs="Calibri Light"/>
                <w:szCs w:val="22"/>
                <w:lang w:eastAsia="en-GB"/>
              </w:rPr>
            </w:pPr>
          </w:p>
        </w:tc>
        <w:tc>
          <w:tcPr>
            <w:tcW w:w="6095" w:type="dxa"/>
            <w:vAlign w:val="center"/>
          </w:tcPr>
          <w:p w14:paraId="13AC31CA" w14:textId="31B33A50" w:rsidR="00F314FC" w:rsidRPr="004805A9" w:rsidRDefault="004805A9" w:rsidP="004805A9">
            <w:pPr>
              <w:spacing w:before="0" w:after="0"/>
              <w:rPr>
                <w:b/>
              </w:rPr>
            </w:pPr>
            <w:r w:rsidRPr="004805A9">
              <w:t>Work with the GPI to</w:t>
            </w:r>
            <w:r>
              <w:rPr>
                <w:b/>
              </w:rPr>
              <w:t xml:space="preserve"> d</w:t>
            </w:r>
            <w:r w:rsidR="00F314FC" w:rsidRPr="004805A9">
              <w:rPr>
                <w:b/>
              </w:rPr>
              <w:t>isseminate</w:t>
            </w:r>
            <w:r>
              <w:rPr>
                <w:b/>
              </w:rPr>
              <w:t xml:space="preserve"> and present</w:t>
            </w:r>
            <w:r w:rsidR="00F314FC" w:rsidRPr="004805A9">
              <w:rPr>
                <w:b/>
              </w:rPr>
              <w:t xml:space="preserve"> guidance</w:t>
            </w:r>
            <w:r w:rsidR="004E545E">
              <w:rPr>
                <w:b/>
              </w:rPr>
              <w:t>.</w:t>
            </w:r>
          </w:p>
        </w:tc>
        <w:tc>
          <w:tcPr>
            <w:tcW w:w="2552" w:type="dxa"/>
            <w:vMerge/>
            <w:vAlign w:val="center"/>
          </w:tcPr>
          <w:p w14:paraId="4FFEC748" w14:textId="77777777" w:rsidR="00F314FC" w:rsidRPr="00856E8F" w:rsidRDefault="00F314FC" w:rsidP="00856E8F">
            <w:pPr>
              <w:spacing w:before="0" w:after="0"/>
              <w:rPr>
                <w:rFonts w:eastAsia="Times New Roman" w:cs="Calibri Light"/>
                <w:szCs w:val="22"/>
                <w:lang w:eastAsia="en-GB"/>
              </w:rPr>
            </w:pPr>
          </w:p>
        </w:tc>
        <w:tc>
          <w:tcPr>
            <w:tcW w:w="1559" w:type="dxa"/>
            <w:vMerge/>
            <w:vAlign w:val="center"/>
          </w:tcPr>
          <w:p w14:paraId="7C2FF822" w14:textId="77777777" w:rsidR="00F314FC" w:rsidRPr="00856E8F" w:rsidRDefault="00F314FC" w:rsidP="00856E8F">
            <w:pPr>
              <w:spacing w:before="0" w:after="0"/>
              <w:rPr>
                <w:rFonts w:eastAsia="Times New Roman" w:cs="Calibri Light"/>
                <w:szCs w:val="22"/>
                <w:lang w:eastAsia="en-GB"/>
              </w:rPr>
            </w:pPr>
          </w:p>
        </w:tc>
        <w:tc>
          <w:tcPr>
            <w:tcW w:w="760" w:type="dxa"/>
            <w:vAlign w:val="center"/>
          </w:tcPr>
          <w:p w14:paraId="6AD7FCCF"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7B0A8CC1" w14:textId="77777777" w:rsidR="00F314FC" w:rsidRPr="00856E8F" w:rsidRDefault="00F314FC" w:rsidP="004F16B7">
            <w:pPr>
              <w:spacing w:before="0" w:after="0"/>
              <w:jc w:val="center"/>
              <w:rPr>
                <w:rFonts w:eastAsia="Times New Roman" w:cs="Calibri Light"/>
                <w:szCs w:val="22"/>
                <w:lang w:eastAsia="en-GB"/>
              </w:rPr>
            </w:pPr>
          </w:p>
        </w:tc>
        <w:tc>
          <w:tcPr>
            <w:tcW w:w="601" w:type="dxa"/>
            <w:vAlign w:val="center"/>
          </w:tcPr>
          <w:p w14:paraId="5EC6B62E" w14:textId="77777777" w:rsidR="00F314FC" w:rsidRPr="00856E8F" w:rsidRDefault="00F314FC" w:rsidP="004F16B7">
            <w:pPr>
              <w:spacing w:before="0" w:after="0"/>
              <w:jc w:val="center"/>
              <w:rPr>
                <w:rFonts w:eastAsia="Times New Roman" w:cs="Calibri Light"/>
                <w:szCs w:val="22"/>
                <w:lang w:eastAsia="en-GB"/>
              </w:rPr>
            </w:pPr>
          </w:p>
        </w:tc>
        <w:tc>
          <w:tcPr>
            <w:tcW w:w="602" w:type="dxa"/>
            <w:vAlign w:val="center"/>
          </w:tcPr>
          <w:p w14:paraId="0847FC79" w14:textId="7DB2A48A"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574F2E88" w14:textId="1FAC98F0" w:rsidR="00F314FC" w:rsidRPr="00856E8F" w:rsidRDefault="00F314FC" w:rsidP="004F16B7">
            <w:pPr>
              <w:spacing w:before="0" w:after="0"/>
              <w:jc w:val="center"/>
              <w:rPr>
                <w:rFonts w:eastAsia="Times New Roman" w:cs="Calibri Light"/>
                <w:szCs w:val="22"/>
                <w:lang w:eastAsia="en-GB"/>
              </w:rPr>
            </w:pPr>
            <w:r>
              <w:rPr>
                <w:rFonts w:eastAsia="Times New Roman" w:cs="Calibri Light"/>
                <w:szCs w:val="22"/>
                <w:lang w:eastAsia="en-GB"/>
              </w:rPr>
              <w:t>X</w:t>
            </w:r>
          </w:p>
        </w:tc>
      </w:tr>
      <w:tr w:rsidR="00F314FC" w:rsidRPr="00856E8F" w14:paraId="3DC98FEB" w14:textId="77777777" w:rsidTr="004805A9">
        <w:tc>
          <w:tcPr>
            <w:tcW w:w="14879" w:type="dxa"/>
            <w:gridSpan w:val="4"/>
            <w:shd w:val="clear" w:color="auto" w:fill="C6D9F1" w:themeFill="text2" w:themeFillTint="33"/>
            <w:vAlign w:val="center"/>
          </w:tcPr>
          <w:p w14:paraId="20D6DED8" w14:textId="60700703" w:rsidR="00F314FC" w:rsidRPr="00856E8F" w:rsidRDefault="00F314FC" w:rsidP="00F314FC">
            <w:pPr>
              <w:spacing w:before="0" w:after="0"/>
              <w:rPr>
                <w:rFonts w:eastAsia="Times New Roman" w:cs="Calibri Light"/>
                <w:szCs w:val="22"/>
                <w:lang w:eastAsia="en-GB"/>
              </w:rPr>
            </w:pPr>
            <w:r w:rsidRPr="00156F22">
              <w:rPr>
                <w:i/>
              </w:rPr>
              <w:t>Output 2:</w:t>
            </w:r>
            <w:r w:rsidRPr="00215828">
              <w:t xml:space="preserve"> Improved awareness around effective triangular co-operation for sustainable development.</w:t>
            </w:r>
          </w:p>
        </w:tc>
        <w:tc>
          <w:tcPr>
            <w:tcW w:w="3167" w:type="dxa"/>
            <w:gridSpan w:val="5"/>
            <w:vAlign w:val="center"/>
          </w:tcPr>
          <w:p w14:paraId="3281EF64" w14:textId="77777777" w:rsidR="00F314FC" w:rsidRDefault="00F314FC" w:rsidP="00F314FC">
            <w:pPr>
              <w:spacing w:before="0" w:after="0"/>
              <w:jc w:val="center"/>
              <w:rPr>
                <w:rFonts w:eastAsia="Times New Roman" w:cs="Calibri Light"/>
                <w:szCs w:val="22"/>
                <w:lang w:eastAsia="en-GB"/>
              </w:rPr>
            </w:pPr>
          </w:p>
        </w:tc>
      </w:tr>
      <w:tr w:rsidR="002A6FB9" w:rsidRPr="00856E8F" w14:paraId="33DD5368" w14:textId="77777777" w:rsidTr="004805A9">
        <w:tc>
          <w:tcPr>
            <w:tcW w:w="4673" w:type="dxa"/>
            <w:vAlign w:val="center"/>
          </w:tcPr>
          <w:p w14:paraId="78A2F3DF" w14:textId="72D6D3F8" w:rsidR="002A6FB9" w:rsidRPr="00DF161B" w:rsidRDefault="002A6FB9" w:rsidP="00DF161B">
            <w:pPr>
              <w:pStyle w:val="ListParagraph"/>
              <w:numPr>
                <w:ilvl w:val="0"/>
                <w:numId w:val="26"/>
              </w:numPr>
              <w:spacing w:before="0" w:after="0"/>
              <w:rPr>
                <w:rFonts w:eastAsia="Times New Roman" w:cs="Calibri Light"/>
                <w:szCs w:val="22"/>
                <w:lang w:eastAsia="en-GB"/>
              </w:rPr>
            </w:pPr>
          </w:p>
        </w:tc>
        <w:tc>
          <w:tcPr>
            <w:tcW w:w="6095" w:type="dxa"/>
            <w:vAlign w:val="center"/>
          </w:tcPr>
          <w:p w14:paraId="1E72B97C" w14:textId="7311D86B" w:rsidR="002A6FB9" w:rsidRPr="004805A9" w:rsidRDefault="002A6FB9" w:rsidP="00F314FC">
            <w:pPr>
              <w:spacing w:before="0" w:after="0"/>
              <w:rPr>
                <w:b/>
              </w:rPr>
            </w:pPr>
            <w:r w:rsidRPr="004805A9">
              <w:rPr>
                <w:b/>
              </w:rPr>
              <w:t xml:space="preserve">Publish triangular co-operation blog posts </w:t>
            </w:r>
            <w:r w:rsidRPr="004805A9">
              <w:t xml:space="preserve">on the GPEDC’s website (cross-posting on </w:t>
            </w:r>
            <w:r w:rsidR="004805A9" w:rsidRPr="004805A9">
              <w:t>other triangular related sites)</w:t>
            </w:r>
            <w:r w:rsidR="004E545E">
              <w:t>.</w:t>
            </w:r>
          </w:p>
        </w:tc>
        <w:tc>
          <w:tcPr>
            <w:tcW w:w="2552" w:type="dxa"/>
            <w:vAlign w:val="center"/>
          </w:tcPr>
          <w:p w14:paraId="0472698F" w14:textId="039CCD03" w:rsidR="002A6FB9" w:rsidRDefault="002A6FB9" w:rsidP="00F314FC">
            <w:pPr>
              <w:spacing w:before="0" w:after="0"/>
            </w:pPr>
            <w:r>
              <w:t># of blogs published</w:t>
            </w:r>
          </w:p>
          <w:p w14:paraId="344846BA" w14:textId="5944EB1A" w:rsidR="002A6FB9" w:rsidRDefault="002A6FB9" w:rsidP="00F314FC">
            <w:pPr>
              <w:spacing w:before="0" w:after="0"/>
            </w:pPr>
            <w:r>
              <w:t xml:space="preserve"># of site visits </w:t>
            </w:r>
          </w:p>
          <w:p w14:paraId="53CE14C0" w14:textId="77777777" w:rsidR="002A6FB9" w:rsidRDefault="002A6FB9" w:rsidP="00F314FC">
            <w:pPr>
              <w:spacing w:before="0" w:after="0"/>
            </w:pPr>
          </w:p>
          <w:p w14:paraId="32428D1C" w14:textId="7B9B6F27" w:rsidR="002A6FB9" w:rsidRPr="00F314FC" w:rsidRDefault="002A6FB9" w:rsidP="004805A9">
            <w:pPr>
              <w:spacing w:before="0" w:after="0"/>
            </w:pPr>
            <w:r w:rsidRPr="002A6FB9">
              <w:rPr>
                <w:i/>
              </w:rPr>
              <w:t>Source of Verification</w:t>
            </w:r>
            <w:r>
              <w:t>: GPEDC web traffic</w:t>
            </w:r>
          </w:p>
        </w:tc>
        <w:tc>
          <w:tcPr>
            <w:tcW w:w="1559" w:type="dxa"/>
            <w:vMerge w:val="restart"/>
            <w:vAlign w:val="center"/>
          </w:tcPr>
          <w:p w14:paraId="3E2C3474" w14:textId="70594E83" w:rsidR="002A6FB9" w:rsidRPr="00856E8F" w:rsidRDefault="002A6FB9" w:rsidP="00F314FC">
            <w:pPr>
              <w:spacing w:before="0" w:after="0"/>
              <w:rPr>
                <w:rFonts w:eastAsia="Times New Roman" w:cs="Calibri Light"/>
                <w:szCs w:val="22"/>
                <w:lang w:eastAsia="en-GB"/>
              </w:rPr>
            </w:pPr>
            <w:r>
              <w:rPr>
                <w:rFonts w:eastAsia="Times New Roman" w:cs="Calibri Light"/>
                <w:szCs w:val="22"/>
                <w:lang w:eastAsia="en-GB"/>
              </w:rPr>
              <w:t>In-house.</w:t>
            </w:r>
          </w:p>
        </w:tc>
        <w:tc>
          <w:tcPr>
            <w:tcW w:w="760" w:type="dxa"/>
            <w:vAlign w:val="center"/>
          </w:tcPr>
          <w:p w14:paraId="40E51258" w14:textId="77777777" w:rsidR="002A6FB9" w:rsidRPr="00856E8F" w:rsidRDefault="002A6FB9" w:rsidP="00F314FC">
            <w:pPr>
              <w:spacing w:before="0" w:after="0"/>
              <w:jc w:val="center"/>
              <w:rPr>
                <w:rFonts w:eastAsia="Times New Roman" w:cs="Calibri Light"/>
                <w:szCs w:val="22"/>
                <w:lang w:eastAsia="en-GB"/>
              </w:rPr>
            </w:pPr>
          </w:p>
        </w:tc>
        <w:tc>
          <w:tcPr>
            <w:tcW w:w="602" w:type="dxa"/>
            <w:vAlign w:val="center"/>
          </w:tcPr>
          <w:p w14:paraId="2EFD8965" w14:textId="238A00BE" w:rsidR="002A6FB9" w:rsidRPr="00856E8F" w:rsidRDefault="002A6FB9" w:rsidP="00F314FC">
            <w:pPr>
              <w:spacing w:before="0" w:after="0"/>
              <w:jc w:val="center"/>
              <w:rPr>
                <w:rFonts w:eastAsia="Times New Roman" w:cs="Calibri Light"/>
                <w:szCs w:val="22"/>
                <w:lang w:eastAsia="en-GB"/>
              </w:rPr>
            </w:pPr>
            <w:r>
              <w:rPr>
                <w:rFonts w:eastAsia="Times New Roman" w:cs="Calibri Light"/>
                <w:szCs w:val="22"/>
                <w:lang w:eastAsia="en-GB"/>
              </w:rPr>
              <w:t>X</w:t>
            </w:r>
          </w:p>
        </w:tc>
        <w:tc>
          <w:tcPr>
            <w:tcW w:w="601" w:type="dxa"/>
            <w:vAlign w:val="center"/>
          </w:tcPr>
          <w:p w14:paraId="4F8CAFD9" w14:textId="267DC9E9" w:rsidR="002A6FB9" w:rsidRPr="00856E8F" w:rsidRDefault="002A6FB9" w:rsidP="00F314FC">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6342EE99" w14:textId="16640347" w:rsidR="002A6FB9" w:rsidRDefault="002A6FB9" w:rsidP="00F314FC">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19C84A76" w14:textId="2014D56A" w:rsidR="002A6FB9" w:rsidRDefault="002A6FB9" w:rsidP="00F314FC">
            <w:pPr>
              <w:spacing w:before="0" w:after="0"/>
              <w:jc w:val="center"/>
              <w:rPr>
                <w:rFonts w:eastAsia="Times New Roman" w:cs="Calibri Light"/>
                <w:szCs w:val="22"/>
                <w:lang w:eastAsia="en-GB"/>
              </w:rPr>
            </w:pPr>
            <w:r>
              <w:rPr>
                <w:rFonts w:eastAsia="Times New Roman" w:cs="Calibri Light"/>
                <w:szCs w:val="22"/>
                <w:lang w:eastAsia="en-GB"/>
              </w:rPr>
              <w:t>X</w:t>
            </w:r>
          </w:p>
        </w:tc>
      </w:tr>
      <w:tr w:rsidR="002A6FB9" w:rsidRPr="00856E8F" w14:paraId="6DD4BD2A" w14:textId="77777777" w:rsidTr="004805A9">
        <w:tc>
          <w:tcPr>
            <w:tcW w:w="4673" w:type="dxa"/>
            <w:vAlign w:val="center"/>
          </w:tcPr>
          <w:p w14:paraId="1A5F5225" w14:textId="524437D2" w:rsidR="002A6FB9" w:rsidRPr="004805A9" w:rsidRDefault="002A6FB9" w:rsidP="00A95EAB">
            <w:pPr>
              <w:pStyle w:val="ListParagraph"/>
              <w:numPr>
                <w:ilvl w:val="0"/>
                <w:numId w:val="27"/>
              </w:numPr>
              <w:spacing w:before="0" w:after="0"/>
              <w:ind w:left="360"/>
              <w:rPr>
                <w:rFonts w:eastAsia="Times New Roman" w:cs="Calibri Light"/>
                <w:szCs w:val="22"/>
                <w:lang w:eastAsia="en-GB"/>
              </w:rPr>
            </w:pPr>
            <w:r w:rsidRPr="004805A9">
              <w:rPr>
                <w:rFonts w:eastAsia="Times New Roman" w:cs="Calibri Light"/>
                <w:szCs w:val="22"/>
                <w:lang w:eastAsia="en-GB"/>
              </w:rPr>
              <w:t xml:space="preserve">Completed, July 2020. Page should be updated periodically. </w:t>
            </w:r>
          </w:p>
          <w:p w14:paraId="4CD57BA5" w14:textId="405BACFB" w:rsidR="002A6FB9" w:rsidRPr="00DF161B" w:rsidRDefault="002A6FB9" w:rsidP="00DF161B">
            <w:pPr>
              <w:pStyle w:val="ListParagraph"/>
              <w:numPr>
                <w:ilvl w:val="0"/>
                <w:numId w:val="27"/>
              </w:numPr>
              <w:spacing w:before="0" w:after="0"/>
              <w:ind w:left="360"/>
              <w:rPr>
                <w:rFonts w:eastAsia="Times New Roman" w:cs="Calibri Light"/>
                <w:szCs w:val="22"/>
                <w:lang w:eastAsia="en-GB"/>
              </w:rPr>
            </w:pPr>
            <w:r w:rsidRPr="00DF161B">
              <w:rPr>
                <w:rFonts w:eastAsia="Times New Roman" w:cs="Calibri Light"/>
                <w:szCs w:val="22"/>
                <w:lang w:eastAsia="en-GB"/>
              </w:rPr>
              <w:t>Next update should include a link to the forthcoming GPI website, and a description of the differen</w:t>
            </w:r>
            <w:r w:rsidR="00EA6C07">
              <w:rPr>
                <w:rFonts w:eastAsia="Times New Roman" w:cs="Calibri Light"/>
                <w:szCs w:val="22"/>
                <w:lang w:eastAsia="en-GB"/>
              </w:rPr>
              <w:t xml:space="preserve">ce </w:t>
            </w:r>
            <w:r w:rsidRPr="00DF161B">
              <w:rPr>
                <w:rFonts w:eastAsia="Times New Roman" w:cs="Calibri Light"/>
                <w:szCs w:val="22"/>
                <w:lang w:eastAsia="en-GB"/>
              </w:rPr>
              <w:t xml:space="preserve">between platforms. </w:t>
            </w:r>
          </w:p>
        </w:tc>
        <w:tc>
          <w:tcPr>
            <w:tcW w:w="6095" w:type="dxa"/>
            <w:vAlign w:val="center"/>
          </w:tcPr>
          <w:p w14:paraId="34F551FE" w14:textId="5E105186" w:rsidR="002A6FB9" w:rsidRPr="004805A9" w:rsidRDefault="002A6FB9" w:rsidP="00F314FC">
            <w:pPr>
              <w:spacing w:before="0" w:after="0"/>
              <w:rPr>
                <w:b/>
              </w:rPr>
            </w:pPr>
            <w:r w:rsidRPr="004805A9">
              <w:rPr>
                <w:b/>
              </w:rPr>
              <w:t xml:space="preserve">Create a triangular co-operation </w:t>
            </w:r>
            <w:r w:rsidR="004805A9">
              <w:rPr>
                <w:b/>
              </w:rPr>
              <w:t>web</w:t>
            </w:r>
            <w:r w:rsidRPr="004805A9">
              <w:rPr>
                <w:b/>
              </w:rPr>
              <w:t xml:space="preserve">page </w:t>
            </w:r>
            <w:r w:rsidRPr="004805A9">
              <w:t>on the GPEDC’s website</w:t>
            </w:r>
            <w:r w:rsidRPr="004805A9">
              <w:rPr>
                <w:b/>
              </w:rPr>
              <w:t xml:space="preserve"> </w:t>
            </w:r>
            <w:r w:rsidR="004805A9" w:rsidRPr="004805A9">
              <w:t>(</w:t>
            </w:r>
            <w:r w:rsidR="001731A0">
              <w:t>will include</w:t>
            </w:r>
            <w:r w:rsidRPr="004805A9">
              <w:t xml:space="preserve"> evidence and best practices, and link with</w:t>
            </w:r>
            <w:r w:rsidR="004805A9">
              <w:t xml:space="preserve"> other triangular related sites)</w:t>
            </w:r>
            <w:r w:rsidR="004E545E">
              <w:t>.</w:t>
            </w:r>
          </w:p>
        </w:tc>
        <w:tc>
          <w:tcPr>
            <w:tcW w:w="2552" w:type="dxa"/>
            <w:vAlign w:val="center"/>
          </w:tcPr>
          <w:p w14:paraId="42574A13" w14:textId="1DA56646" w:rsidR="002A6FB9" w:rsidRPr="00856E8F" w:rsidRDefault="002A6FB9" w:rsidP="00F314FC">
            <w:pPr>
              <w:spacing w:before="0" w:after="0"/>
              <w:rPr>
                <w:rFonts w:eastAsia="Times New Roman" w:cs="Calibri Light"/>
                <w:szCs w:val="22"/>
                <w:lang w:eastAsia="en-GB"/>
              </w:rPr>
            </w:pPr>
            <w:r>
              <w:rPr>
                <w:rFonts w:eastAsia="Times New Roman" w:cs="Calibri Light"/>
                <w:szCs w:val="22"/>
                <w:lang w:eastAsia="en-GB"/>
              </w:rPr>
              <w:t>-</w:t>
            </w:r>
          </w:p>
        </w:tc>
        <w:tc>
          <w:tcPr>
            <w:tcW w:w="1559" w:type="dxa"/>
            <w:vMerge/>
            <w:vAlign w:val="center"/>
          </w:tcPr>
          <w:p w14:paraId="29C19BB6" w14:textId="77777777" w:rsidR="002A6FB9" w:rsidRPr="00856E8F" w:rsidRDefault="002A6FB9" w:rsidP="00F314FC">
            <w:pPr>
              <w:spacing w:before="0" w:after="0"/>
              <w:rPr>
                <w:rFonts w:eastAsia="Times New Roman" w:cs="Calibri Light"/>
                <w:szCs w:val="22"/>
                <w:lang w:eastAsia="en-GB"/>
              </w:rPr>
            </w:pPr>
          </w:p>
        </w:tc>
        <w:tc>
          <w:tcPr>
            <w:tcW w:w="760" w:type="dxa"/>
            <w:vAlign w:val="center"/>
          </w:tcPr>
          <w:p w14:paraId="037F62AC" w14:textId="370E52E1" w:rsidR="002A6FB9" w:rsidRPr="00856E8F" w:rsidRDefault="002A6FB9" w:rsidP="00F314FC">
            <w:pPr>
              <w:spacing w:before="0" w:after="0"/>
              <w:jc w:val="center"/>
              <w:rPr>
                <w:rFonts w:eastAsia="Times New Roman" w:cs="Calibri Light"/>
                <w:szCs w:val="22"/>
                <w:lang w:eastAsia="en-GB"/>
              </w:rPr>
            </w:pPr>
            <w:r>
              <w:rPr>
                <w:rFonts w:eastAsia="Times New Roman" w:cs="Calibri Light"/>
                <w:szCs w:val="22"/>
                <w:lang w:eastAsia="en-GB"/>
              </w:rPr>
              <w:t>X</w:t>
            </w:r>
          </w:p>
        </w:tc>
        <w:tc>
          <w:tcPr>
            <w:tcW w:w="602" w:type="dxa"/>
            <w:vAlign w:val="center"/>
          </w:tcPr>
          <w:p w14:paraId="48F913E3" w14:textId="77777777" w:rsidR="002A6FB9" w:rsidRPr="00856E8F" w:rsidRDefault="002A6FB9" w:rsidP="00F314FC">
            <w:pPr>
              <w:spacing w:before="0" w:after="0"/>
              <w:jc w:val="center"/>
              <w:rPr>
                <w:rFonts w:eastAsia="Times New Roman" w:cs="Calibri Light"/>
                <w:szCs w:val="22"/>
                <w:lang w:eastAsia="en-GB"/>
              </w:rPr>
            </w:pPr>
          </w:p>
        </w:tc>
        <w:tc>
          <w:tcPr>
            <w:tcW w:w="601" w:type="dxa"/>
            <w:vAlign w:val="center"/>
          </w:tcPr>
          <w:p w14:paraId="167CB62C" w14:textId="77777777" w:rsidR="002A6FB9" w:rsidRPr="00856E8F" w:rsidRDefault="002A6FB9" w:rsidP="00F314FC">
            <w:pPr>
              <w:spacing w:before="0" w:after="0"/>
              <w:jc w:val="center"/>
              <w:rPr>
                <w:rFonts w:eastAsia="Times New Roman" w:cs="Calibri Light"/>
                <w:szCs w:val="22"/>
                <w:lang w:eastAsia="en-GB"/>
              </w:rPr>
            </w:pPr>
          </w:p>
        </w:tc>
        <w:tc>
          <w:tcPr>
            <w:tcW w:w="602" w:type="dxa"/>
            <w:vAlign w:val="center"/>
          </w:tcPr>
          <w:p w14:paraId="49656D22" w14:textId="77777777" w:rsidR="002A6FB9" w:rsidRDefault="002A6FB9" w:rsidP="00F314FC">
            <w:pPr>
              <w:spacing w:before="0" w:after="0"/>
              <w:jc w:val="center"/>
              <w:rPr>
                <w:rFonts w:eastAsia="Times New Roman" w:cs="Calibri Light"/>
                <w:szCs w:val="22"/>
                <w:lang w:eastAsia="en-GB"/>
              </w:rPr>
            </w:pPr>
          </w:p>
        </w:tc>
        <w:tc>
          <w:tcPr>
            <w:tcW w:w="602" w:type="dxa"/>
            <w:vAlign w:val="center"/>
          </w:tcPr>
          <w:p w14:paraId="53187F34" w14:textId="77777777" w:rsidR="002A6FB9" w:rsidRDefault="002A6FB9" w:rsidP="00F314FC">
            <w:pPr>
              <w:spacing w:before="0" w:after="0"/>
              <w:jc w:val="center"/>
              <w:rPr>
                <w:rFonts w:eastAsia="Times New Roman" w:cs="Calibri Light"/>
                <w:szCs w:val="22"/>
                <w:lang w:eastAsia="en-GB"/>
              </w:rPr>
            </w:pPr>
          </w:p>
        </w:tc>
      </w:tr>
    </w:tbl>
    <w:p w14:paraId="2838BA96" w14:textId="77777777" w:rsidR="001621FB" w:rsidRDefault="001621FB" w:rsidP="001621FB">
      <w:pPr>
        <w:spacing w:before="0" w:after="0" w:line="276" w:lineRule="auto"/>
        <w:rPr>
          <w:rFonts w:eastAsia="Times New Roman" w:cs="Calibri Light"/>
          <w:b/>
          <w:i/>
          <w:color w:val="1F497D" w:themeColor="text2"/>
          <w:sz w:val="28"/>
          <w:szCs w:val="22"/>
          <w:lang w:eastAsia="en-GB"/>
        </w:rPr>
      </w:pPr>
    </w:p>
    <w:p w14:paraId="77711152" w14:textId="77777777" w:rsidR="006F1822" w:rsidRDefault="006F1822" w:rsidP="001621FB">
      <w:pPr>
        <w:spacing w:before="0" w:after="0" w:line="276" w:lineRule="auto"/>
        <w:rPr>
          <w:rFonts w:eastAsia="Times New Roman" w:cs="Calibri Light"/>
          <w:b/>
          <w:i/>
          <w:color w:val="1F497D" w:themeColor="text2"/>
          <w:sz w:val="28"/>
          <w:szCs w:val="22"/>
          <w:lang w:eastAsia="en-GB"/>
        </w:rPr>
      </w:pPr>
    </w:p>
    <w:p w14:paraId="0A8338A1" w14:textId="3DAB8098" w:rsidR="00F314FC" w:rsidRPr="002470F4" w:rsidRDefault="002470F4" w:rsidP="001621FB">
      <w:pPr>
        <w:spacing w:before="0" w:after="0" w:line="276" w:lineRule="auto"/>
        <w:rPr>
          <w:rFonts w:eastAsia="Times New Roman" w:cs="Calibri Light"/>
          <w:b/>
          <w:i/>
          <w:color w:val="1F497D" w:themeColor="text2"/>
          <w:sz w:val="28"/>
          <w:szCs w:val="22"/>
          <w:lang w:eastAsia="en-GB"/>
        </w:rPr>
      </w:pPr>
      <w:r>
        <w:rPr>
          <w:rFonts w:eastAsia="Times New Roman" w:cs="Calibri Light"/>
          <w:b/>
          <w:i/>
          <w:color w:val="1F497D" w:themeColor="text2"/>
          <w:sz w:val="28"/>
          <w:szCs w:val="22"/>
          <w:lang w:eastAsia="en-GB"/>
        </w:rPr>
        <w:lastRenderedPageBreak/>
        <w:t xml:space="preserve">Work Plan – </w:t>
      </w:r>
      <w:r w:rsidRPr="002470F4">
        <w:rPr>
          <w:rFonts w:eastAsia="Times New Roman" w:cs="Calibri Light"/>
          <w:b/>
          <w:i/>
          <w:color w:val="1F497D" w:themeColor="text2"/>
          <w:sz w:val="28"/>
          <w:szCs w:val="22"/>
          <w:lang w:eastAsia="en-GB"/>
        </w:rPr>
        <w:t>Optional Activities</w:t>
      </w:r>
    </w:p>
    <w:tbl>
      <w:tblPr>
        <w:tblStyle w:val="TableGrid"/>
        <w:tblW w:w="0" w:type="auto"/>
        <w:tblLook w:val="04A0" w:firstRow="1" w:lastRow="0" w:firstColumn="1" w:lastColumn="0" w:noHBand="0" w:noVBand="1"/>
      </w:tblPr>
      <w:tblGrid>
        <w:gridCol w:w="3823"/>
        <w:gridCol w:w="4961"/>
        <w:gridCol w:w="4536"/>
        <w:gridCol w:w="1605"/>
        <w:gridCol w:w="754"/>
        <w:gridCol w:w="592"/>
        <w:gridCol w:w="591"/>
        <w:gridCol w:w="592"/>
        <w:gridCol w:w="592"/>
      </w:tblGrid>
      <w:tr w:rsidR="00F314FC" w:rsidRPr="00856E8F" w14:paraId="4CBCAA0A" w14:textId="77777777" w:rsidTr="004805A9">
        <w:tc>
          <w:tcPr>
            <w:tcW w:w="3823" w:type="dxa"/>
            <w:vAlign w:val="center"/>
          </w:tcPr>
          <w:p w14:paraId="6BED9E5E" w14:textId="77777777" w:rsidR="00F314FC" w:rsidRPr="00856E8F" w:rsidRDefault="00F314FC" w:rsidP="001621FB">
            <w:pPr>
              <w:spacing w:before="0" w:after="0"/>
              <w:jc w:val="center"/>
              <w:rPr>
                <w:rFonts w:eastAsia="Times New Roman" w:cs="Calibri Light"/>
                <w:szCs w:val="22"/>
                <w:lang w:eastAsia="en-GB"/>
              </w:rPr>
            </w:pPr>
            <w:r w:rsidRPr="00856E8F">
              <w:rPr>
                <w:rFonts w:eastAsia="Times New Roman" w:cs="Calibri Light"/>
                <w:b/>
                <w:szCs w:val="22"/>
                <w:lang w:eastAsia="en-GB"/>
              </w:rPr>
              <w:t>Status</w:t>
            </w:r>
          </w:p>
        </w:tc>
        <w:tc>
          <w:tcPr>
            <w:tcW w:w="4961" w:type="dxa"/>
            <w:vAlign w:val="center"/>
          </w:tcPr>
          <w:p w14:paraId="15E1638D" w14:textId="77777777" w:rsidR="00F314FC" w:rsidRPr="00856E8F" w:rsidRDefault="00F314FC" w:rsidP="001621FB">
            <w:pPr>
              <w:spacing w:before="0" w:after="0"/>
              <w:jc w:val="center"/>
              <w:rPr>
                <w:rFonts w:eastAsia="Times New Roman" w:cs="Calibri Light"/>
                <w:b/>
                <w:szCs w:val="22"/>
                <w:lang w:eastAsia="en-GB"/>
              </w:rPr>
            </w:pPr>
            <w:r w:rsidRPr="00856E8F">
              <w:rPr>
                <w:rFonts w:eastAsia="Times New Roman" w:cs="Calibri Light"/>
                <w:b/>
                <w:szCs w:val="22"/>
                <w:lang w:eastAsia="en-GB"/>
              </w:rPr>
              <w:t>Activities</w:t>
            </w:r>
          </w:p>
        </w:tc>
        <w:tc>
          <w:tcPr>
            <w:tcW w:w="4536" w:type="dxa"/>
            <w:vAlign w:val="center"/>
          </w:tcPr>
          <w:p w14:paraId="02B4E52E" w14:textId="77777777" w:rsidR="00F314FC" w:rsidRPr="00856E8F" w:rsidRDefault="00F314FC" w:rsidP="001621FB">
            <w:pPr>
              <w:spacing w:before="0" w:after="0"/>
              <w:jc w:val="center"/>
              <w:rPr>
                <w:rFonts w:eastAsia="Times New Roman" w:cs="Calibri Light"/>
                <w:b/>
                <w:szCs w:val="22"/>
                <w:lang w:eastAsia="en-GB"/>
              </w:rPr>
            </w:pPr>
            <w:r>
              <w:rPr>
                <w:b/>
                <w:szCs w:val="22"/>
              </w:rPr>
              <w:t xml:space="preserve">Indicators &amp; </w:t>
            </w:r>
            <w:r w:rsidRPr="00856E8F">
              <w:rPr>
                <w:b/>
                <w:szCs w:val="22"/>
              </w:rPr>
              <w:t>Source</w:t>
            </w:r>
            <w:r>
              <w:rPr>
                <w:b/>
                <w:szCs w:val="22"/>
              </w:rPr>
              <w:t>s</w:t>
            </w:r>
            <w:r w:rsidRPr="00856E8F">
              <w:rPr>
                <w:b/>
                <w:szCs w:val="22"/>
              </w:rPr>
              <w:t xml:space="preserve"> of Verification</w:t>
            </w:r>
          </w:p>
        </w:tc>
        <w:tc>
          <w:tcPr>
            <w:tcW w:w="1605" w:type="dxa"/>
            <w:vAlign w:val="center"/>
          </w:tcPr>
          <w:p w14:paraId="70C8B7BA" w14:textId="77777777" w:rsidR="00F314FC" w:rsidRPr="00856E8F" w:rsidRDefault="00F314FC" w:rsidP="001621FB">
            <w:pPr>
              <w:spacing w:before="0" w:after="0"/>
              <w:jc w:val="center"/>
              <w:rPr>
                <w:rFonts w:eastAsia="Times New Roman" w:cs="Calibri Light"/>
                <w:b/>
                <w:szCs w:val="22"/>
                <w:lang w:eastAsia="en-GB"/>
              </w:rPr>
            </w:pPr>
            <w:r w:rsidRPr="00856E8F">
              <w:rPr>
                <w:b/>
                <w:szCs w:val="22"/>
              </w:rPr>
              <w:t xml:space="preserve">Required Budget </w:t>
            </w:r>
            <w:r>
              <w:rPr>
                <w:b/>
                <w:szCs w:val="22"/>
              </w:rPr>
              <w:t>&amp;</w:t>
            </w:r>
            <w:r w:rsidRPr="00856E8F">
              <w:rPr>
                <w:b/>
                <w:szCs w:val="22"/>
              </w:rPr>
              <w:t xml:space="preserve"> Resources</w:t>
            </w:r>
          </w:p>
        </w:tc>
        <w:tc>
          <w:tcPr>
            <w:tcW w:w="3121" w:type="dxa"/>
            <w:gridSpan w:val="5"/>
            <w:vAlign w:val="center"/>
          </w:tcPr>
          <w:p w14:paraId="5F3D463E" w14:textId="77777777" w:rsidR="00F314FC" w:rsidRPr="00856E8F" w:rsidRDefault="00F314FC" w:rsidP="001621FB">
            <w:pPr>
              <w:spacing w:before="0" w:after="0"/>
              <w:jc w:val="center"/>
              <w:rPr>
                <w:rFonts w:eastAsia="Times New Roman" w:cs="Calibri Light"/>
                <w:b/>
                <w:szCs w:val="22"/>
                <w:lang w:eastAsia="en-GB"/>
              </w:rPr>
            </w:pPr>
            <w:r w:rsidRPr="00856E8F">
              <w:rPr>
                <w:rFonts w:cs="Calibri Light"/>
                <w:b/>
                <w:szCs w:val="22"/>
              </w:rPr>
              <w:t>Proposed Timeline</w:t>
            </w:r>
          </w:p>
        </w:tc>
      </w:tr>
      <w:tr w:rsidR="00F314FC" w:rsidRPr="00856E8F" w14:paraId="4825A14C" w14:textId="77777777" w:rsidTr="004805A9">
        <w:tc>
          <w:tcPr>
            <w:tcW w:w="14925" w:type="dxa"/>
            <w:gridSpan w:val="4"/>
            <w:vMerge w:val="restart"/>
            <w:shd w:val="clear" w:color="auto" w:fill="C6D9F1" w:themeFill="text2" w:themeFillTint="33"/>
            <w:vAlign w:val="center"/>
          </w:tcPr>
          <w:p w14:paraId="7CD42296" w14:textId="77777777" w:rsidR="00F314FC" w:rsidRPr="00856E8F" w:rsidRDefault="00F314FC" w:rsidP="0039493C">
            <w:pPr>
              <w:spacing w:before="0" w:after="0"/>
              <w:rPr>
                <w:rFonts w:eastAsia="Times New Roman" w:cs="Calibri Light"/>
                <w:szCs w:val="22"/>
                <w:lang w:eastAsia="en-GB"/>
              </w:rPr>
            </w:pPr>
            <w:r w:rsidRPr="00897A21">
              <w:rPr>
                <w:i/>
              </w:rPr>
              <w:t>Output 1</w:t>
            </w:r>
            <w:r w:rsidRPr="00897A21">
              <w:t xml:space="preserve">: </w:t>
            </w:r>
            <w:r w:rsidRPr="00BF5F6A">
              <w:t>Increased instances of implementation of the Voluntary Guidelines on Effective Triangular Co-operation in development programming.</w:t>
            </w:r>
          </w:p>
        </w:tc>
        <w:tc>
          <w:tcPr>
            <w:tcW w:w="754" w:type="dxa"/>
            <w:vAlign w:val="center"/>
          </w:tcPr>
          <w:p w14:paraId="713FD657"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2020</w:t>
            </w:r>
          </w:p>
        </w:tc>
        <w:tc>
          <w:tcPr>
            <w:tcW w:w="1183" w:type="dxa"/>
            <w:gridSpan w:val="2"/>
            <w:vAlign w:val="center"/>
          </w:tcPr>
          <w:p w14:paraId="390EBF91"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2021</w:t>
            </w:r>
          </w:p>
        </w:tc>
        <w:tc>
          <w:tcPr>
            <w:tcW w:w="1184" w:type="dxa"/>
            <w:gridSpan w:val="2"/>
            <w:vAlign w:val="center"/>
          </w:tcPr>
          <w:p w14:paraId="05D7F02D"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2022</w:t>
            </w:r>
          </w:p>
        </w:tc>
      </w:tr>
      <w:tr w:rsidR="00F314FC" w:rsidRPr="00856E8F" w14:paraId="0908D642" w14:textId="77777777" w:rsidTr="004805A9">
        <w:tc>
          <w:tcPr>
            <w:tcW w:w="14925" w:type="dxa"/>
            <w:gridSpan w:val="4"/>
            <w:vMerge/>
            <w:shd w:val="clear" w:color="auto" w:fill="C6D9F1" w:themeFill="text2" w:themeFillTint="33"/>
            <w:vAlign w:val="center"/>
          </w:tcPr>
          <w:p w14:paraId="66A9CE3A" w14:textId="77777777" w:rsidR="00F314FC" w:rsidRPr="00856E8F" w:rsidRDefault="00F314FC" w:rsidP="0039493C">
            <w:pPr>
              <w:spacing w:before="0" w:after="0"/>
              <w:rPr>
                <w:rFonts w:eastAsia="Times New Roman" w:cs="Calibri Light"/>
                <w:szCs w:val="22"/>
                <w:lang w:eastAsia="en-GB"/>
              </w:rPr>
            </w:pPr>
          </w:p>
        </w:tc>
        <w:tc>
          <w:tcPr>
            <w:tcW w:w="754" w:type="dxa"/>
            <w:vAlign w:val="center"/>
          </w:tcPr>
          <w:p w14:paraId="1B597D4F"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S2</w:t>
            </w:r>
          </w:p>
        </w:tc>
        <w:tc>
          <w:tcPr>
            <w:tcW w:w="592" w:type="dxa"/>
            <w:vAlign w:val="center"/>
          </w:tcPr>
          <w:p w14:paraId="53290B4D"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S1</w:t>
            </w:r>
          </w:p>
        </w:tc>
        <w:tc>
          <w:tcPr>
            <w:tcW w:w="591" w:type="dxa"/>
            <w:vAlign w:val="center"/>
          </w:tcPr>
          <w:p w14:paraId="68A36D60"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S2</w:t>
            </w:r>
          </w:p>
        </w:tc>
        <w:tc>
          <w:tcPr>
            <w:tcW w:w="592" w:type="dxa"/>
            <w:vAlign w:val="center"/>
          </w:tcPr>
          <w:p w14:paraId="60A7E4FF"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S1</w:t>
            </w:r>
          </w:p>
        </w:tc>
        <w:tc>
          <w:tcPr>
            <w:tcW w:w="592" w:type="dxa"/>
            <w:vAlign w:val="center"/>
          </w:tcPr>
          <w:p w14:paraId="240904C6" w14:textId="77777777" w:rsidR="00F314FC" w:rsidRPr="00856E8F" w:rsidRDefault="00F314FC" w:rsidP="0039493C">
            <w:pPr>
              <w:spacing w:before="0" w:after="0"/>
              <w:jc w:val="center"/>
              <w:rPr>
                <w:rFonts w:eastAsia="Times New Roman" w:cs="Calibri Light"/>
                <w:szCs w:val="22"/>
                <w:lang w:eastAsia="en-GB"/>
              </w:rPr>
            </w:pPr>
            <w:r w:rsidRPr="00856E8F">
              <w:rPr>
                <w:rFonts w:eastAsia="Times New Roman" w:cs="Calibri Light"/>
                <w:szCs w:val="22"/>
                <w:lang w:eastAsia="en-GB"/>
              </w:rPr>
              <w:t>S2</w:t>
            </w:r>
          </w:p>
        </w:tc>
      </w:tr>
      <w:tr w:rsidR="00DF161B" w:rsidRPr="00856E8F" w14:paraId="6189F177" w14:textId="77777777" w:rsidTr="004805A9">
        <w:tc>
          <w:tcPr>
            <w:tcW w:w="3823" w:type="dxa"/>
            <w:vAlign w:val="center"/>
          </w:tcPr>
          <w:p w14:paraId="04828FAE" w14:textId="450AE367" w:rsidR="00DF161B" w:rsidRDefault="00DF161B" w:rsidP="00DF161B">
            <w:pPr>
              <w:pStyle w:val="ListParagraph"/>
              <w:numPr>
                <w:ilvl w:val="0"/>
                <w:numId w:val="29"/>
              </w:numPr>
              <w:spacing w:before="0" w:after="0"/>
              <w:rPr>
                <w:rFonts w:eastAsia="Times New Roman" w:cs="Calibri Light"/>
                <w:szCs w:val="22"/>
                <w:lang w:eastAsia="en-GB"/>
              </w:rPr>
            </w:pPr>
            <w:r w:rsidRPr="00DF161B">
              <w:rPr>
                <w:rFonts w:eastAsia="Times New Roman" w:cs="Calibri Light"/>
                <w:szCs w:val="22"/>
                <w:lang w:eastAsia="en-GB"/>
              </w:rPr>
              <w:t xml:space="preserve">Survey sent out to GPEDC AA working group members in July 2020. No case studies received. </w:t>
            </w:r>
            <w:r>
              <w:rPr>
                <w:rFonts w:eastAsia="Times New Roman" w:cs="Calibri Light"/>
                <w:szCs w:val="22"/>
                <w:lang w:eastAsia="en-GB"/>
              </w:rPr>
              <w:t xml:space="preserve">Activity halted. Refocus on pilots. </w:t>
            </w:r>
          </w:p>
          <w:p w14:paraId="3310498A" w14:textId="0A84331D" w:rsidR="00DF161B" w:rsidRPr="00DF161B" w:rsidRDefault="00DF161B" w:rsidP="00DF161B">
            <w:pPr>
              <w:pStyle w:val="ListParagraph"/>
              <w:numPr>
                <w:ilvl w:val="0"/>
                <w:numId w:val="29"/>
              </w:numPr>
              <w:spacing w:before="0" w:after="0"/>
              <w:rPr>
                <w:rFonts w:eastAsia="Times New Roman" w:cs="Calibri Light"/>
                <w:szCs w:val="22"/>
                <w:lang w:eastAsia="en-GB"/>
              </w:rPr>
            </w:pPr>
            <w:r w:rsidRPr="00DF161B">
              <w:rPr>
                <w:rFonts w:eastAsia="Times New Roman" w:cs="Calibri Light"/>
                <w:szCs w:val="22"/>
                <w:lang w:eastAsia="en-GB"/>
              </w:rPr>
              <w:t>Activity could be revisit</w:t>
            </w:r>
            <w:r>
              <w:rPr>
                <w:rFonts w:eastAsia="Times New Roman" w:cs="Calibri Light"/>
                <w:szCs w:val="22"/>
                <w:lang w:eastAsia="en-GB"/>
              </w:rPr>
              <w:t>ed later on and re-scoped.</w:t>
            </w:r>
          </w:p>
        </w:tc>
        <w:tc>
          <w:tcPr>
            <w:tcW w:w="4961" w:type="dxa"/>
            <w:vAlign w:val="center"/>
          </w:tcPr>
          <w:p w14:paraId="12E20961" w14:textId="3B0BDCC8" w:rsidR="00DF161B" w:rsidRPr="00856E8F" w:rsidRDefault="00DF161B" w:rsidP="004805A9">
            <w:pPr>
              <w:spacing w:before="0" w:after="0"/>
              <w:rPr>
                <w:rFonts w:eastAsia="Times New Roman" w:cs="Calibri Light"/>
                <w:szCs w:val="22"/>
                <w:lang w:eastAsia="en-GB"/>
              </w:rPr>
            </w:pPr>
            <w:r w:rsidRPr="004805A9">
              <w:rPr>
                <w:b/>
              </w:rPr>
              <w:t>Identify and compile case studies on funding mechanisms</w:t>
            </w:r>
            <w:r w:rsidRPr="00D87DB0">
              <w:t xml:space="preserve"> </w:t>
            </w:r>
            <w:r>
              <w:t xml:space="preserve">that have proven effective </w:t>
            </w:r>
            <w:r w:rsidRPr="00D87DB0">
              <w:t>for</w:t>
            </w:r>
            <w:r>
              <w:t xml:space="preserve"> the realization of</w:t>
            </w:r>
            <w:r w:rsidRPr="00D87DB0">
              <w:t xml:space="preserve"> triangular co</w:t>
            </w:r>
            <w:r>
              <w:t>-</w:t>
            </w:r>
            <w:r w:rsidRPr="00D87DB0">
              <w:t>operation</w:t>
            </w:r>
            <w:r>
              <w:t xml:space="preserve"> projects</w:t>
            </w:r>
            <w:r w:rsidRPr="00D87DB0">
              <w:t>.</w:t>
            </w:r>
            <w:r w:rsidR="00B772A7" w:rsidRPr="00D87DB0">
              <w:t xml:space="preserve"> </w:t>
            </w:r>
            <w:r w:rsidR="00B772A7" w:rsidRPr="004805A9">
              <w:rPr>
                <w:b/>
              </w:rPr>
              <w:t xml:space="preserve">Disseminate </w:t>
            </w:r>
            <w:r w:rsidR="001621FB">
              <w:rPr>
                <w:b/>
              </w:rPr>
              <w:t>findings</w:t>
            </w:r>
            <w:r w:rsidR="004E545E">
              <w:rPr>
                <w:b/>
              </w:rPr>
              <w:t>.</w:t>
            </w:r>
          </w:p>
        </w:tc>
        <w:tc>
          <w:tcPr>
            <w:tcW w:w="4536" w:type="dxa"/>
            <w:vAlign w:val="center"/>
          </w:tcPr>
          <w:p w14:paraId="647A3546" w14:textId="77777777" w:rsidR="00DF161B" w:rsidRDefault="00DF161B" w:rsidP="00F314FC">
            <w:pPr>
              <w:spacing w:before="0" w:after="0"/>
            </w:pPr>
            <w:r>
              <w:t xml:space="preserve"># of case studies compiled </w:t>
            </w:r>
          </w:p>
          <w:p w14:paraId="3F5AAF0C" w14:textId="56320933" w:rsidR="00DF161B" w:rsidRDefault="00DF161B" w:rsidP="00F314FC">
            <w:pPr>
              <w:spacing w:before="0" w:after="0"/>
            </w:pPr>
            <w:r>
              <w:t xml:space="preserve"># of events the </w:t>
            </w:r>
            <w:r w:rsidR="002A6FB9">
              <w:t>findings are shared/discussed</w:t>
            </w:r>
          </w:p>
          <w:p w14:paraId="304F9397" w14:textId="77777777" w:rsidR="002A6FB9" w:rsidRDefault="002A6FB9" w:rsidP="002A6FB9">
            <w:pPr>
              <w:spacing w:before="0" w:after="0"/>
            </w:pPr>
            <w:r w:rsidRPr="002A6FB9">
              <w:t># of site visits and resource downloads</w:t>
            </w:r>
          </w:p>
          <w:p w14:paraId="14FA396D" w14:textId="77777777" w:rsidR="00DF161B" w:rsidRDefault="00DF161B" w:rsidP="00F314FC">
            <w:pPr>
              <w:spacing w:before="0" w:after="0"/>
            </w:pPr>
          </w:p>
          <w:p w14:paraId="214CEEBA" w14:textId="20ACB4FB" w:rsidR="00DF161B" w:rsidRPr="00F314FC" w:rsidRDefault="002A6FB9" w:rsidP="002A6FB9">
            <w:pPr>
              <w:spacing w:before="0" w:after="0"/>
            </w:pPr>
            <w:r w:rsidRPr="002A6FB9">
              <w:rPr>
                <w:i/>
              </w:rPr>
              <w:t>Source of Verification</w:t>
            </w:r>
            <w:r w:rsidRPr="00156F22">
              <w:t>:</w:t>
            </w:r>
            <w:r>
              <w:t xml:space="preserve"> triangular resources, event programs, </w:t>
            </w:r>
            <w:r w:rsidRPr="00156F22">
              <w:t>project reports</w:t>
            </w:r>
            <w:r>
              <w:t>, GPEDC web traffic</w:t>
            </w:r>
          </w:p>
        </w:tc>
        <w:tc>
          <w:tcPr>
            <w:tcW w:w="1605" w:type="dxa"/>
            <w:vAlign w:val="center"/>
          </w:tcPr>
          <w:p w14:paraId="1F6F2B84" w14:textId="00D10D35" w:rsidR="00DF161B" w:rsidRPr="00856E8F" w:rsidRDefault="00DF161B" w:rsidP="0039493C">
            <w:pPr>
              <w:spacing w:before="0" w:after="0"/>
              <w:rPr>
                <w:rFonts w:eastAsia="Times New Roman" w:cs="Calibri Light"/>
                <w:szCs w:val="22"/>
                <w:lang w:eastAsia="en-GB"/>
              </w:rPr>
            </w:pPr>
            <w:r>
              <w:rPr>
                <w:rFonts w:eastAsia="Times New Roman" w:cs="Calibri Light"/>
                <w:szCs w:val="22"/>
                <w:lang w:eastAsia="en-GB"/>
              </w:rPr>
              <w:t>In-house.</w:t>
            </w:r>
          </w:p>
        </w:tc>
        <w:tc>
          <w:tcPr>
            <w:tcW w:w="754" w:type="dxa"/>
            <w:vAlign w:val="center"/>
          </w:tcPr>
          <w:p w14:paraId="06E5278C" w14:textId="4B77CD04" w:rsidR="00DF161B" w:rsidRPr="00856E8F" w:rsidRDefault="00DF161B"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2" w:type="dxa"/>
            <w:vAlign w:val="center"/>
          </w:tcPr>
          <w:p w14:paraId="202AC901" w14:textId="3C4A4EAE" w:rsidR="00DF161B" w:rsidRPr="00856E8F"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1" w:type="dxa"/>
            <w:vAlign w:val="center"/>
          </w:tcPr>
          <w:p w14:paraId="246DE61C" w14:textId="77777777" w:rsidR="00DF161B" w:rsidRPr="00856E8F" w:rsidRDefault="00DF161B" w:rsidP="0039493C">
            <w:pPr>
              <w:spacing w:before="0" w:after="0"/>
              <w:jc w:val="center"/>
              <w:rPr>
                <w:rFonts w:eastAsia="Times New Roman" w:cs="Calibri Light"/>
                <w:szCs w:val="22"/>
                <w:lang w:eastAsia="en-GB"/>
              </w:rPr>
            </w:pPr>
          </w:p>
        </w:tc>
        <w:tc>
          <w:tcPr>
            <w:tcW w:w="592" w:type="dxa"/>
            <w:vAlign w:val="center"/>
          </w:tcPr>
          <w:p w14:paraId="2721833C" w14:textId="77777777" w:rsidR="00DF161B" w:rsidRPr="00856E8F" w:rsidRDefault="00DF161B" w:rsidP="0039493C">
            <w:pPr>
              <w:spacing w:before="0" w:after="0"/>
              <w:jc w:val="center"/>
              <w:rPr>
                <w:rFonts w:eastAsia="Times New Roman" w:cs="Calibri Light"/>
                <w:szCs w:val="22"/>
                <w:lang w:eastAsia="en-GB"/>
              </w:rPr>
            </w:pPr>
          </w:p>
        </w:tc>
        <w:tc>
          <w:tcPr>
            <w:tcW w:w="592" w:type="dxa"/>
            <w:vAlign w:val="center"/>
          </w:tcPr>
          <w:p w14:paraId="4BB45E14" w14:textId="77777777" w:rsidR="00DF161B" w:rsidRPr="00856E8F" w:rsidRDefault="00DF161B" w:rsidP="0039493C">
            <w:pPr>
              <w:spacing w:before="0" w:after="0"/>
              <w:jc w:val="center"/>
              <w:rPr>
                <w:rFonts w:eastAsia="Times New Roman" w:cs="Calibri Light"/>
                <w:szCs w:val="22"/>
                <w:lang w:eastAsia="en-GB"/>
              </w:rPr>
            </w:pPr>
          </w:p>
        </w:tc>
      </w:tr>
      <w:tr w:rsidR="00DF161B" w:rsidRPr="00856E8F" w14:paraId="6A0CD9C2" w14:textId="77777777" w:rsidTr="004805A9">
        <w:tc>
          <w:tcPr>
            <w:tcW w:w="3823" w:type="dxa"/>
            <w:vAlign w:val="center"/>
          </w:tcPr>
          <w:p w14:paraId="41F11D67" w14:textId="43CFBBCF" w:rsidR="00DF161B" w:rsidRPr="00DF161B" w:rsidRDefault="00DF161B" w:rsidP="00DF161B">
            <w:pPr>
              <w:pStyle w:val="ListParagraph"/>
              <w:numPr>
                <w:ilvl w:val="0"/>
                <w:numId w:val="30"/>
              </w:numPr>
              <w:spacing w:before="0" w:after="0"/>
              <w:rPr>
                <w:rFonts w:eastAsia="Times New Roman" w:cs="Calibri Light"/>
                <w:szCs w:val="22"/>
                <w:lang w:eastAsia="en-GB"/>
              </w:rPr>
            </w:pPr>
          </w:p>
        </w:tc>
        <w:tc>
          <w:tcPr>
            <w:tcW w:w="4961" w:type="dxa"/>
            <w:vAlign w:val="center"/>
          </w:tcPr>
          <w:p w14:paraId="5A01C37F" w14:textId="4F945AAF" w:rsidR="00DF161B" w:rsidRDefault="00DF161B" w:rsidP="00DF161B">
            <w:pPr>
              <w:spacing w:before="0" w:after="0"/>
            </w:pPr>
            <w:r w:rsidRPr="004805A9">
              <w:rPr>
                <w:b/>
              </w:rPr>
              <w:t>Host coaching workshops</w:t>
            </w:r>
            <w:r>
              <w:t xml:space="preserve"> to support implementation of Voluntary Guidelines</w:t>
            </w:r>
            <w:r w:rsidR="001621FB">
              <w:t xml:space="preserve"> (post-pilot activity)</w:t>
            </w:r>
            <w:r w:rsidR="004E545E">
              <w:t>.</w:t>
            </w:r>
          </w:p>
        </w:tc>
        <w:tc>
          <w:tcPr>
            <w:tcW w:w="4536" w:type="dxa"/>
            <w:vAlign w:val="center"/>
          </w:tcPr>
          <w:p w14:paraId="5DCD9985" w14:textId="77777777" w:rsidR="00DF161B" w:rsidRPr="00156F22" w:rsidRDefault="00DF161B" w:rsidP="00DF161B">
            <w:pPr>
              <w:spacing w:before="0" w:after="0"/>
            </w:pPr>
            <w:r w:rsidRPr="00156F22">
              <w:t># of coaching workshops (virtual</w:t>
            </w:r>
            <w:r>
              <w:t xml:space="preserve"> and/or</w:t>
            </w:r>
            <w:r w:rsidRPr="00156F22">
              <w:t xml:space="preserve"> in-person)</w:t>
            </w:r>
          </w:p>
          <w:p w14:paraId="10B5B921" w14:textId="338758D0" w:rsidR="00DF161B" w:rsidRPr="00856E8F" w:rsidRDefault="00DF161B" w:rsidP="00DF161B">
            <w:pPr>
              <w:spacing w:before="0" w:after="0"/>
              <w:rPr>
                <w:rFonts w:eastAsia="Times New Roman" w:cs="Calibri Light"/>
                <w:szCs w:val="22"/>
                <w:lang w:eastAsia="en-GB"/>
              </w:rPr>
            </w:pPr>
            <w:r w:rsidRPr="00156F22">
              <w:t># of participants attending coaching workshops</w:t>
            </w:r>
            <w:r>
              <w:t xml:space="preserve"> </w:t>
            </w:r>
            <w:r w:rsidRPr="00156F22">
              <w:t>(aggregated by organization/group)</w:t>
            </w:r>
          </w:p>
        </w:tc>
        <w:tc>
          <w:tcPr>
            <w:tcW w:w="1605" w:type="dxa"/>
            <w:vAlign w:val="center"/>
          </w:tcPr>
          <w:p w14:paraId="6826E65B" w14:textId="77777777" w:rsidR="004805A9" w:rsidRDefault="00DF161B" w:rsidP="004805A9">
            <w:pPr>
              <w:spacing w:before="0" w:after="0"/>
            </w:pPr>
            <w:r>
              <w:t>Coaching workshops</w:t>
            </w:r>
            <w:r w:rsidRPr="00156F22">
              <w:t>:</w:t>
            </w:r>
            <w:r w:rsidR="004805A9">
              <w:t xml:space="preserve"> virtual - </w:t>
            </w:r>
            <w:r>
              <w:t>$0</w:t>
            </w:r>
            <w:r w:rsidR="004805A9">
              <w:t>;</w:t>
            </w:r>
          </w:p>
          <w:p w14:paraId="6D9C41F3" w14:textId="54747BEB" w:rsidR="00DF161B" w:rsidRPr="00156F22" w:rsidRDefault="004805A9" w:rsidP="004805A9">
            <w:pPr>
              <w:spacing w:before="0" w:after="0"/>
            </w:pPr>
            <w:r>
              <w:t>in-person -</w:t>
            </w:r>
            <w:r w:rsidR="00F15FFC">
              <w:t>$tbd</w:t>
            </w:r>
          </w:p>
          <w:p w14:paraId="1E9AF38D" w14:textId="77777777" w:rsidR="00DF161B" w:rsidRPr="00156F22" w:rsidRDefault="00DF161B" w:rsidP="00DF161B">
            <w:pPr>
              <w:spacing w:before="0" w:after="0"/>
            </w:pPr>
          </w:p>
          <w:p w14:paraId="268BE03C" w14:textId="20AB8EF6" w:rsidR="00DF161B" w:rsidRPr="00856E8F" w:rsidRDefault="00DF161B" w:rsidP="004805A9">
            <w:pPr>
              <w:spacing w:before="0" w:after="0"/>
              <w:rPr>
                <w:rFonts w:eastAsia="Times New Roman" w:cs="Calibri Light"/>
                <w:szCs w:val="22"/>
                <w:lang w:eastAsia="en-GB"/>
              </w:rPr>
            </w:pPr>
            <w:r w:rsidRPr="00156F22">
              <w:t>Interpretation servi</w:t>
            </w:r>
            <w:r>
              <w:t>c</w:t>
            </w:r>
            <w:r w:rsidR="00F15FFC">
              <w:t>es</w:t>
            </w:r>
            <w:r w:rsidR="004805A9">
              <w:t>-</w:t>
            </w:r>
            <w:r w:rsidR="00F15FFC">
              <w:t xml:space="preserve"> $tbd</w:t>
            </w:r>
          </w:p>
        </w:tc>
        <w:tc>
          <w:tcPr>
            <w:tcW w:w="754" w:type="dxa"/>
            <w:vAlign w:val="center"/>
          </w:tcPr>
          <w:p w14:paraId="5F262EF1" w14:textId="77777777" w:rsidR="00DF161B" w:rsidRPr="00856E8F" w:rsidRDefault="00DF161B" w:rsidP="0039493C">
            <w:pPr>
              <w:spacing w:before="0" w:after="0"/>
              <w:jc w:val="center"/>
              <w:rPr>
                <w:rFonts w:eastAsia="Times New Roman" w:cs="Calibri Light"/>
                <w:szCs w:val="22"/>
                <w:lang w:eastAsia="en-GB"/>
              </w:rPr>
            </w:pPr>
          </w:p>
        </w:tc>
        <w:tc>
          <w:tcPr>
            <w:tcW w:w="592" w:type="dxa"/>
            <w:vAlign w:val="center"/>
          </w:tcPr>
          <w:p w14:paraId="56E3C8E3" w14:textId="7D2A64E4" w:rsidR="00DF161B" w:rsidRPr="00856E8F" w:rsidRDefault="00DF161B" w:rsidP="0039493C">
            <w:pPr>
              <w:spacing w:before="0" w:after="0"/>
              <w:jc w:val="center"/>
              <w:rPr>
                <w:rFonts w:eastAsia="Times New Roman" w:cs="Calibri Light"/>
                <w:szCs w:val="22"/>
                <w:lang w:eastAsia="en-GB"/>
              </w:rPr>
            </w:pPr>
          </w:p>
        </w:tc>
        <w:tc>
          <w:tcPr>
            <w:tcW w:w="591" w:type="dxa"/>
            <w:vAlign w:val="center"/>
          </w:tcPr>
          <w:p w14:paraId="7B9E9789" w14:textId="5A3E6204" w:rsidR="00DF161B" w:rsidRPr="00856E8F" w:rsidRDefault="00DF161B" w:rsidP="0039493C">
            <w:pPr>
              <w:spacing w:before="0" w:after="0"/>
              <w:jc w:val="center"/>
              <w:rPr>
                <w:rFonts w:eastAsia="Times New Roman" w:cs="Calibri Light"/>
                <w:szCs w:val="22"/>
                <w:lang w:eastAsia="en-GB"/>
              </w:rPr>
            </w:pPr>
          </w:p>
        </w:tc>
        <w:tc>
          <w:tcPr>
            <w:tcW w:w="592" w:type="dxa"/>
            <w:vAlign w:val="center"/>
          </w:tcPr>
          <w:p w14:paraId="0E285244" w14:textId="28081C9C" w:rsidR="00DF161B" w:rsidRPr="00856E8F" w:rsidRDefault="00DF161B" w:rsidP="0039493C">
            <w:pPr>
              <w:spacing w:before="0" w:after="0"/>
              <w:jc w:val="center"/>
              <w:rPr>
                <w:rFonts w:eastAsia="Times New Roman" w:cs="Calibri Light"/>
                <w:szCs w:val="22"/>
                <w:lang w:eastAsia="en-GB"/>
              </w:rPr>
            </w:pPr>
          </w:p>
        </w:tc>
        <w:tc>
          <w:tcPr>
            <w:tcW w:w="592" w:type="dxa"/>
            <w:vAlign w:val="center"/>
          </w:tcPr>
          <w:p w14:paraId="3BE8B8F8" w14:textId="3A3188AD" w:rsidR="00DF161B" w:rsidRPr="00856E8F" w:rsidRDefault="00DF161B" w:rsidP="0039493C">
            <w:pPr>
              <w:spacing w:before="0" w:after="0"/>
              <w:jc w:val="center"/>
              <w:rPr>
                <w:rFonts w:eastAsia="Times New Roman" w:cs="Calibri Light"/>
                <w:szCs w:val="22"/>
                <w:lang w:eastAsia="en-GB"/>
              </w:rPr>
            </w:pPr>
            <w:r>
              <w:rPr>
                <w:rFonts w:eastAsia="Times New Roman" w:cs="Calibri Light"/>
                <w:szCs w:val="22"/>
                <w:lang w:eastAsia="en-GB"/>
              </w:rPr>
              <w:t>X</w:t>
            </w:r>
          </w:p>
        </w:tc>
      </w:tr>
      <w:tr w:rsidR="00F314FC" w:rsidRPr="00856E8F" w14:paraId="7B061FE9" w14:textId="77777777" w:rsidTr="004805A9">
        <w:tc>
          <w:tcPr>
            <w:tcW w:w="14925" w:type="dxa"/>
            <w:gridSpan w:val="4"/>
            <w:shd w:val="clear" w:color="auto" w:fill="C6D9F1" w:themeFill="text2" w:themeFillTint="33"/>
            <w:vAlign w:val="center"/>
          </w:tcPr>
          <w:p w14:paraId="091C311C" w14:textId="77777777" w:rsidR="00F314FC" w:rsidRPr="00856E8F" w:rsidRDefault="00F314FC" w:rsidP="0039493C">
            <w:pPr>
              <w:spacing w:before="0" w:after="0"/>
              <w:rPr>
                <w:rFonts w:eastAsia="Times New Roman" w:cs="Calibri Light"/>
                <w:szCs w:val="22"/>
                <w:lang w:eastAsia="en-GB"/>
              </w:rPr>
            </w:pPr>
            <w:r w:rsidRPr="00156F22">
              <w:rPr>
                <w:i/>
              </w:rPr>
              <w:t>Output 2: Improved awareness around effective triangular co-operation for sustainable development.</w:t>
            </w:r>
          </w:p>
        </w:tc>
        <w:tc>
          <w:tcPr>
            <w:tcW w:w="3121" w:type="dxa"/>
            <w:gridSpan w:val="5"/>
            <w:vAlign w:val="center"/>
          </w:tcPr>
          <w:p w14:paraId="1994C2E9" w14:textId="77777777" w:rsidR="00F314FC" w:rsidRDefault="00F314FC" w:rsidP="0039493C">
            <w:pPr>
              <w:spacing w:before="0" w:after="0"/>
              <w:jc w:val="center"/>
              <w:rPr>
                <w:rFonts w:eastAsia="Times New Roman" w:cs="Calibri Light"/>
                <w:szCs w:val="22"/>
                <w:lang w:eastAsia="en-GB"/>
              </w:rPr>
            </w:pPr>
          </w:p>
        </w:tc>
      </w:tr>
      <w:tr w:rsidR="00F314FC" w:rsidRPr="00856E8F" w14:paraId="206913C7" w14:textId="77777777" w:rsidTr="004805A9">
        <w:tc>
          <w:tcPr>
            <w:tcW w:w="3823" w:type="dxa"/>
            <w:vAlign w:val="center"/>
          </w:tcPr>
          <w:p w14:paraId="3503217C" w14:textId="5BFE0496" w:rsidR="00F314FC" w:rsidRPr="00B772A7" w:rsidRDefault="00F314FC" w:rsidP="00B772A7">
            <w:pPr>
              <w:pStyle w:val="ListParagraph"/>
              <w:numPr>
                <w:ilvl w:val="0"/>
                <w:numId w:val="31"/>
              </w:numPr>
              <w:spacing w:before="0" w:after="0"/>
              <w:rPr>
                <w:rFonts w:eastAsia="Times New Roman" w:cs="Calibri Light"/>
                <w:szCs w:val="22"/>
                <w:lang w:eastAsia="en-GB"/>
              </w:rPr>
            </w:pPr>
          </w:p>
        </w:tc>
        <w:tc>
          <w:tcPr>
            <w:tcW w:w="4961" w:type="dxa"/>
            <w:vAlign w:val="center"/>
          </w:tcPr>
          <w:p w14:paraId="542864FE" w14:textId="081BC704" w:rsidR="00F314FC" w:rsidRDefault="00DF161B" w:rsidP="002A6FB9">
            <w:pPr>
              <w:spacing w:before="0" w:after="0"/>
            </w:pPr>
            <w:r w:rsidRPr="001621FB">
              <w:rPr>
                <w:b/>
              </w:rPr>
              <w:t>Present</w:t>
            </w:r>
            <w:r w:rsidR="00B772A7" w:rsidRPr="001621FB">
              <w:rPr>
                <w:b/>
              </w:rPr>
              <w:t xml:space="preserve"> </w:t>
            </w:r>
            <w:r w:rsidR="002A6FB9" w:rsidRPr="001621FB">
              <w:rPr>
                <w:b/>
              </w:rPr>
              <w:t>TrC AA</w:t>
            </w:r>
            <w:r w:rsidR="00B772A7" w:rsidRPr="001621FB">
              <w:rPr>
                <w:b/>
              </w:rPr>
              <w:t xml:space="preserve"> findings</w:t>
            </w:r>
            <w:r w:rsidR="00B772A7">
              <w:t xml:space="preserve"> and advocate for </w:t>
            </w:r>
            <w:r w:rsidRPr="002218CC">
              <w:t>effective triangular co-operation</w:t>
            </w:r>
            <w:r w:rsidR="004E545E">
              <w:t xml:space="preserve"> (in collaboration with the GPI)</w:t>
            </w:r>
            <w:r w:rsidR="001621FB">
              <w:t xml:space="preserve"> </w:t>
            </w:r>
            <w:r w:rsidR="001621FB" w:rsidRPr="001621FB">
              <w:rPr>
                <w:b/>
              </w:rPr>
              <w:t xml:space="preserve">at </w:t>
            </w:r>
            <w:r w:rsidR="004E545E">
              <w:rPr>
                <w:b/>
              </w:rPr>
              <w:t xml:space="preserve">various </w:t>
            </w:r>
            <w:r w:rsidR="001621FB" w:rsidRPr="001621FB">
              <w:rPr>
                <w:b/>
              </w:rPr>
              <w:t>development events</w:t>
            </w:r>
            <w:r w:rsidR="004E545E">
              <w:rPr>
                <w:b/>
              </w:rPr>
              <w:t>.</w:t>
            </w:r>
          </w:p>
        </w:tc>
        <w:tc>
          <w:tcPr>
            <w:tcW w:w="4536" w:type="dxa"/>
            <w:vAlign w:val="center"/>
          </w:tcPr>
          <w:p w14:paraId="733EFE24" w14:textId="51592C73" w:rsidR="00F314FC" w:rsidRDefault="00DF161B" w:rsidP="00DF161B">
            <w:pPr>
              <w:spacing w:before="0" w:after="0"/>
            </w:pPr>
            <w:r>
              <w:t xml:space="preserve"># of events </w:t>
            </w:r>
          </w:p>
          <w:p w14:paraId="650B1AFB" w14:textId="77777777" w:rsidR="001621FB" w:rsidRDefault="001621FB" w:rsidP="00DF161B">
            <w:pPr>
              <w:spacing w:before="0" w:after="0"/>
            </w:pPr>
          </w:p>
          <w:p w14:paraId="7BB338DC" w14:textId="095B1BE6" w:rsidR="00DF161B" w:rsidRPr="00DF161B" w:rsidRDefault="00DF161B" w:rsidP="001621FB">
            <w:pPr>
              <w:spacing w:before="0" w:after="0"/>
            </w:pPr>
            <w:r w:rsidRPr="002A6FB9">
              <w:rPr>
                <w:i/>
              </w:rPr>
              <w:t>Source of Verification:</w:t>
            </w:r>
            <w:r w:rsidR="002A6FB9">
              <w:t xml:space="preserve"> </w:t>
            </w:r>
            <w:r>
              <w:t xml:space="preserve">event programs </w:t>
            </w:r>
          </w:p>
        </w:tc>
        <w:tc>
          <w:tcPr>
            <w:tcW w:w="1605" w:type="dxa"/>
            <w:vAlign w:val="center"/>
          </w:tcPr>
          <w:p w14:paraId="25994B08" w14:textId="187D910B" w:rsidR="00F314FC" w:rsidRPr="00856E8F" w:rsidRDefault="001621FB" w:rsidP="0039493C">
            <w:pPr>
              <w:spacing w:before="0" w:after="0"/>
              <w:rPr>
                <w:rFonts w:eastAsia="Times New Roman" w:cs="Calibri Light"/>
                <w:szCs w:val="22"/>
                <w:lang w:eastAsia="en-GB"/>
              </w:rPr>
            </w:pPr>
            <w:r>
              <w:rPr>
                <w:rFonts w:eastAsia="Times New Roman" w:cs="Calibri Light"/>
                <w:szCs w:val="22"/>
                <w:lang w:eastAsia="en-GB"/>
              </w:rPr>
              <w:t>-</w:t>
            </w:r>
          </w:p>
        </w:tc>
        <w:tc>
          <w:tcPr>
            <w:tcW w:w="754" w:type="dxa"/>
            <w:vAlign w:val="center"/>
          </w:tcPr>
          <w:p w14:paraId="04E0362B" w14:textId="03455D30" w:rsidR="00F314FC" w:rsidRPr="00856E8F"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2" w:type="dxa"/>
            <w:vAlign w:val="center"/>
          </w:tcPr>
          <w:p w14:paraId="288AD54E" w14:textId="3F0F7534" w:rsidR="00F314FC" w:rsidRPr="00856E8F"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1" w:type="dxa"/>
            <w:vAlign w:val="center"/>
          </w:tcPr>
          <w:p w14:paraId="7125E853" w14:textId="313F1715" w:rsidR="00F314FC" w:rsidRPr="00856E8F"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2" w:type="dxa"/>
            <w:vAlign w:val="center"/>
          </w:tcPr>
          <w:p w14:paraId="564EB3EF" w14:textId="2FEE8C4E" w:rsidR="00F314FC"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2" w:type="dxa"/>
            <w:vAlign w:val="center"/>
          </w:tcPr>
          <w:p w14:paraId="2459B45D" w14:textId="3AEDB5BB" w:rsidR="00F314FC"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r>
      <w:tr w:rsidR="00F314FC" w:rsidRPr="00856E8F" w14:paraId="29395D3D" w14:textId="77777777" w:rsidTr="004805A9">
        <w:tc>
          <w:tcPr>
            <w:tcW w:w="3823" w:type="dxa"/>
            <w:vAlign w:val="center"/>
          </w:tcPr>
          <w:p w14:paraId="7A287169" w14:textId="09F9E42D" w:rsidR="00F314FC" w:rsidRPr="002A6FB9" w:rsidRDefault="00F314FC" w:rsidP="002A6FB9">
            <w:pPr>
              <w:pStyle w:val="ListParagraph"/>
              <w:numPr>
                <w:ilvl w:val="0"/>
                <w:numId w:val="31"/>
              </w:numPr>
              <w:spacing w:before="0" w:after="0"/>
              <w:rPr>
                <w:rFonts w:eastAsia="Times New Roman" w:cs="Calibri Light"/>
                <w:szCs w:val="22"/>
                <w:lang w:eastAsia="en-GB"/>
              </w:rPr>
            </w:pPr>
          </w:p>
        </w:tc>
        <w:tc>
          <w:tcPr>
            <w:tcW w:w="4961" w:type="dxa"/>
            <w:vAlign w:val="center"/>
          </w:tcPr>
          <w:p w14:paraId="7C93CB37" w14:textId="2918470A" w:rsidR="00F314FC" w:rsidRPr="00B772A7" w:rsidRDefault="00DF161B" w:rsidP="00B772A7">
            <w:pPr>
              <w:spacing w:before="0" w:after="0"/>
              <w:rPr>
                <w:b/>
              </w:rPr>
            </w:pPr>
            <w:r w:rsidRPr="001621FB">
              <w:rPr>
                <w:b/>
              </w:rPr>
              <w:t xml:space="preserve">Survey GPEDC </w:t>
            </w:r>
            <w:r w:rsidR="00B772A7" w:rsidRPr="001621FB">
              <w:rPr>
                <w:b/>
              </w:rPr>
              <w:t>network</w:t>
            </w:r>
            <w:r w:rsidR="00B772A7">
              <w:t xml:space="preserve"> and </w:t>
            </w:r>
            <w:r w:rsidRPr="002218CC">
              <w:t>constituents on their use and knowledge of triangular co-operation</w:t>
            </w:r>
            <w:r>
              <w:t>.</w:t>
            </w:r>
            <w:r>
              <w:rPr>
                <w:rStyle w:val="FootnoteReference"/>
              </w:rPr>
              <w:footnoteReference w:id="3"/>
            </w:r>
            <w:r w:rsidR="001621FB">
              <w:t xml:space="preserve"> </w:t>
            </w:r>
            <w:r w:rsidR="001621FB">
              <w:rPr>
                <w:b/>
              </w:rPr>
              <w:t>Disseminate findings</w:t>
            </w:r>
            <w:r w:rsidR="004E545E">
              <w:rPr>
                <w:b/>
              </w:rPr>
              <w:t>.</w:t>
            </w:r>
          </w:p>
        </w:tc>
        <w:tc>
          <w:tcPr>
            <w:tcW w:w="4536" w:type="dxa"/>
            <w:vAlign w:val="center"/>
          </w:tcPr>
          <w:p w14:paraId="5462B0CF" w14:textId="77777777" w:rsidR="002A6FB9" w:rsidRDefault="002A6FB9" w:rsidP="00F15FFC">
            <w:pPr>
              <w:spacing w:before="0" w:after="0"/>
            </w:pPr>
            <w:r>
              <w:t># of survey responses</w:t>
            </w:r>
          </w:p>
          <w:p w14:paraId="1FDEB24F" w14:textId="3A218C3E" w:rsidR="002A6FB9" w:rsidRDefault="002A6FB9" w:rsidP="002A6FB9">
            <w:pPr>
              <w:spacing w:before="0" w:after="0"/>
            </w:pPr>
            <w:r>
              <w:t># of events the findings are shared/discussed</w:t>
            </w:r>
          </w:p>
          <w:p w14:paraId="10BEAD4B" w14:textId="77777777" w:rsidR="002A6FB9" w:rsidRDefault="002A6FB9" w:rsidP="002A6FB9">
            <w:pPr>
              <w:spacing w:before="0" w:after="0"/>
            </w:pPr>
            <w:r w:rsidRPr="002A6FB9">
              <w:t># of site visits and resource downloads</w:t>
            </w:r>
          </w:p>
          <w:p w14:paraId="6D4B52E0" w14:textId="77777777" w:rsidR="00F15FFC" w:rsidRDefault="00F15FFC" w:rsidP="00F15FFC">
            <w:pPr>
              <w:spacing w:before="0" w:after="0"/>
            </w:pPr>
          </w:p>
          <w:p w14:paraId="4CE809C5" w14:textId="373C845B" w:rsidR="002A6FB9" w:rsidRPr="00856E8F" w:rsidRDefault="002A6FB9" w:rsidP="002A6FB9">
            <w:pPr>
              <w:spacing w:before="0" w:after="0"/>
              <w:rPr>
                <w:rFonts w:eastAsia="Times New Roman" w:cs="Calibri Light"/>
                <w:szCs w:val="22"/>
                <w:lang w:eastAsia="en-GB"/>
              </w:rPr>
            </w:pPr>
            <w:r w:rsidRPr="002A6FB9">
              <w:rPr>
                <w:i/>
              </w:rPr>
              <w:t>Source of Verification</w:t>
            </w:r>
            <w:r w:rsidRPr="00156F22">
              <w:t>:</w:t>
            </w:r>
            <w:r>
              <w:t xml:space="preserve"> triangular resources, event programs, GPEDC web traffic</w:t>
            </w:r>
          </w:p>
        </w:tc>
        <w:tc>
          <w:tcPr>
            <w:tcW w:w="1605" w:type="dxa"/>
            <w:vAlign w:val="center"/>
          </w:tcPr>
          <w:p w14:paraId="7CCBB017" w14:textId="024B61A4" w:rsidR="00F314FC" w:rsidRPr="00856E8F" w:rsidRDefault="001621FB" w:rsidP="0039493C">
            <w:pPr>
              <w:spacing w:before="0" w:after="0"/>
              <w:rPr>
                <w:rFonts w:eastAsia="Times New Roman" w:cs="Calibri Light"/>
                <w:szCs w:val="22"/>
                <w:lang w:eastAsia="en-GB"/>
              </w:rPr>
            </w:pPr>
            <w:r>
              <w:rPr>
                <w:rFonts w:eastAsia="Times New Roman" w:cs="Calibri Light"/>
                <w:szCs w:val="22"/>
                <w:lang w:eastAsia="en-GB"/>
              </w:rPr>
              <w:t>-</w:t>
            </w:r>
          </w:p>
        </w:tc>
        <w:tc>
          <w:tcPr>
            <w:tcW w:w="754" w:type="dxa"/>
            <w:vAlign w:val="center"/>
          </w:tcPr>
          <w:p w14:paraId="2D2F6748" w14:textId="3B02DFEF" w:rsidR="00F314FC" w:rsidRPr="00856E8F" w:rsidRDefault="00F314FC" w:rsidP="0039493C">
            <w:pPr>
              <w:spacing w:before="0" w:after="0"/>
              <w:jc w:val="center"/>
              <w:rPr>
                <w:rFonts w:eastAsia="Times New Roman" w:cs="Calibri Light"/>
                <w:szCs w:val="22"/>
                <w:lang w:eastAsia="en-GB"/>
              </w:rPr>
            </w:pPr>
          </w:p>
        </w:tc>
        <w:tc>
          <w:tcPr>
            <w:tcW w:w="592" w:type="dxa"/>
            <w:vAlign w:val="center"/>
          </w:tcPr>
          <w:p w14:paraId="0E99F1A0" w14:textId="619C6D07" w:rsidR="00F314FC" w:rsidRPr="00856E8F"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1" w:type="dxa"/>
            <w:vAlign w:val="center"/>
          </w:tcPr>
          <w:p w14:paraId="42D75101" w14:textId="77777777" w:rsidR="00F314FC" w:rsidRPr="00856E8F" w:rsidRDefault="00F314FC" w:rsidP="0039493C">
            <w:pPr>
              <w:spacing w:before="0" w:after="0"/>
              <w:jc w:val="center"/>
              <w:rPr>
                <w:rFonts w:eastAsia="Times New Roman" w:cs="Calibri Light"/>
                <w:szCs w:val="22"/>
                <w:lang w:eastAsia="en-GB"/>
              </w:rPr>
            </w:pPr>
          </w:p>
        </w:tc>
        <w:tc>
          <w:tcPr>
            <w:tcW w:w="592" w:type="dxa"/>
            <w:vAlign w:val="center"/>
          </w:tcPr>
          <w:p w14:paraId="594B70F3" w14:textId="742D8C58" w:rsidR="00F314FC" w:rsidRDefault="00B772A7" w:rsidP="0039493C">
            <w:pPr>
              <w:spacing w:before="0" w:after="0"/>
              <w:jc w:val="center"/>
              <w:rPr>
                <w:rFonts w:eastAsia="Times New Roman" w:cs="Calibri Light"/>
                <w:szCs w:val="22"/>
                <w:lang w:eastAsia="en-GB"/>
              </w:rPr>
            </w:pPr>
            <w:r>
              <w:rPr>
                <w:rFonts w:eastAsia="Times New Roman" w:cs="Calibri Light"/>
                <w:szCs w:val="22"/>
                <w:lang w:eastAsia="en-GB"/>
              </w:rPr>
              <w:t>X</w:t>
            </w:r>
          </w:p>
        </w:tc>
        <w:tc>
          <w:tcPr>
            <w:tcW w:w="592" w:type="dxa"/>
            <w:vAlign w:val="center"/>
          </w:tcPr>
          <w:p w14:paraId="3E38EF19" w14:textId="77777777" w:rsidR="00F314FC" w:rsidRDefault="00F314FC" w:rsidP="0039493C">
            <w:pPr>
              <w:spacing w:before="0" w:after="0"/>
              <w:jc w:val="center"/>
              <w:rPr>
                <w:rFonts w:eastAsia="Times New Roman" w:cs="Calibri Light"/>
                <w:szCs w:val="22"/>
                <w:lang w:eastAsia="en-GB"/>
              </w:rPr>
            </w:pPr>
          </w:p>
        </w:tc>
      </w:tr>
    </w:tbl>
    <w:p w14:paraId="7921CC4D" w14:textId="77777777" w:rsidR="00664D9C" w:rsidRPr="00F44E47" w:rsidRDefault="00C5435D" w:rsidP="006F1822"/>
    <w:sectPr w:rsidR="00664D9C" w:rsidRPr="00F44E47" w:rsidSect="00F15FFC">
      <w:footerReference w:type="default" r:id="rId11"/>
      <w:pgSz w:w="20160" w:h="12240" w:orient="landscape" w:code="5"/>
      <w:pgMar w:top="1191" w:right="1253" w:bottom="850" w:left="851" w:header="1247" w:footer="124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D58A" w14:textId="77777777" w:rsidR="00E02F67" w:rsidRDefault="00E02F67" w:rsidP="001A2320">
      <w:pPr>
        <w:spacing w:before="0" w:after="0"/>
      </w:pPr>
      <w:r>
        <w:separator/>
      </w:r>
    </w:p>
  </w:endnote>
  <w:endnote w:type="continuationSeparator" w:id="0">
    <w:p w14:paraId="2D054F1E" w14:textId="77777777" w:rsidR="00E02F67" w:rsidRDefault="00E02F67" w:rsidP="001A2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Bahnschrift Light"/>
    <w:panose1 w:val="020B05020402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08995"/>
      <w:docPartObj>
        <w:docPartGallery w:val="Page Numbers (Bottom of Page)"/>
        <w:docPartUnique/>
      </w:docPartObj>
    </w:sdtPr>
    <w:sdtEndPr>
      <w:rPr>
        <w:noProof/>
      </w:rPr>
    </w:sdtEndPr>
    <w:sdtContent>
      <w:p w14:paraId="0559A00D" w14:textId="535A4907" w:rsidR="005711E1" w:rsidRPr="001621FB" w:rsidRDefault="005D212E" w:rsidP="001621FB">
        <w:pPr>
          <w:pStyle w:val="Footer"/>
          <w:jc w:val="center"/>
        </w:pPr>
        <w:r>
          <w:fldChar w:fldCharType="begin"/>
        </w:r>
        <w:r>
          <w:instrText xml:space="preserve"> PAGE   \* MERGEFORMAT </w:instrText>
        </w:r>
        <w:r>
          <w:fldChar w:fldCharType="separate"/>
        </w:r>
        <w:r w:rsidR="00C5435D">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074770"/>
      <w:docPartObj>
        <w:docPartGallery w:val="Page Numbers (Bottom of Page)"/>
        <w:docPartUnique/>
      </w:docPartObj>
    </w:sdtPr>
    <w:sdtEndPr>
      <w:rPr>
        <w:noProof/>
      </w:rPr>
    </w:sdtEndPr>
    <w:sdtContent>
      <w:p w14:paraId="2ACFCE40" w14:textId="40404D59" w:rsidR="00F15FFC" w:rsidRDefault="00F15FFC">
        <w:pPr>
          <w:pStyle w:val="Footer"/>
          <w:jc w:val="center"/>
        </w:pPr>
        <w:r>
          <w:fldChar w:fldCharType="begin"/>
        </w:r>
        <w:r>
          <w:instrText xml:space="preserve"> PAGE   \* MERGEFORMAT </w:instrText>
        </w:r>
        <w:r>
          <w:fldChar w:fldCharType="separate"/>
        </w:r>
        <w:r w:rsidR="00C5435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AEA3" w14:textId="77777777" w:rsidR="00E02F67" w:rsidRDefault="00E02F67" w:rsidP="001A2320">
      <w:pPr>
        <w:spacing w:before="0" w:after="0"/>
      </w:pPr>
      <w:r>
        <w:separator/>
      </w:r>
    </w:p>
  </w:footnote>
  <w:footnote w:type="continuationSeparator" w:id="0">
    <w:p w14:paraId="09D6ACDA" w14:textId="77777777" w:rsidR="00E02F67" w:rsidRDefault="00E02F67" w:rsidP="001A2320">
      <w:pPr>
        <w:spacing w:before="0" w:after="0"/>
      </w:pPr>
      <w:r>
        <w:continuationSeparator/>
      </w:r>
    </w:p>
  </w:footnote>
  <w:footnote w:id="1">
    <w:p w14:paraId="179D393B" w14:textId="1E2817D7" w:rsidR="004F16B7" w:rsidRPr="004F16B7" w:rsidRDefault="004F16B7">
      <w:pPr>
        <w:pStyle w:val="FootnoteText"/>
      </w:pPr>
      <w:r>
        <w:rPr>
          <w:rStyle w:val="FootnoteReference"/>
        </w:rPr>
        <w:footnoteRef/>
      </w:r>
      <w:r w:rsidR="004805A9">
        <w:t xml:space="preserve"> Will </w:t>
      </w:r>
      <w:r>
        <w:t xml:space="preserve">help </w:t>
      </w:r>
      <w:r w:rsidRPr="004F16B7">
        <w:t>entice interest and buy-in for the use and applicability of the Voluntary Guidelines</w:t>
      </w:r>
      <w:r>
        <w:t>, especially for the proposed pilot activity.</w:t>
      </w:r>
    </w:p>
  </w:footnote>
  <w:footnote w:id="2">
    <w:p w14:paraId="0B8E8081" w14:textId="77777777" w:rsidR="00F314FC" w:rsidRPr="00A247A7" w:rsidRDefault="00F314FC" w:rsidP="008B32F1">
      <w:pPr>
        <w:pStyle w:val="FootnoteText"/>
      </w:pPr>
      <w:r>
        <w:rPr>
          <w:rStyle w:val="FootnoteReference"/>
        </w:rPr>
        <w:footnoteRef/>
      </w:r>
      <w:r>
        <w:t xml:space="preserve"> Where feasible, done in collaboration with other Action Area pilots (i.e. Action Area 2.1 Private Sector Partnerships for Sustainable Development).</w:t>
      </w:r>
    </w:p>
  </w:footnote>
  <w:footnote w:id="3">
    <w:p w14:paraId="187D286F" w14:textId="038F9EC2" w:rsidR="00DF161B" w:rsidRPr="005301E8" w:rsidRDefault="00DF161B" w:rsidP="00DF161B">
      <w:pPr>
        <w:pStyle w:val="FootnoteText"/>
        <w:rPr>
          <w:lang w:val="en-CA"/>
        </w:rPr>
      </w:pPr>
      <w:r>
        <w:rPr>
          <w:rStyle w:val="FootnoteReference"/>
        </w:rPr>
        <w:footnoteRef/>
      </w:r>
      <w:r>
        <w:t xml:space="preserve"> </w:t>
      </w:r>
      <w:r w:rsidR="004E545E">
        <w:t xml:space="preserve">Could </w:t>
      </w:r>
      <w:r w:rsidR="004E545E">
        <w:rPr>
          <w:lang w:val="en-CA"/>
        </w:rPr>
        <w:t>involve</w:t>
      </w:r>
      <w:r>
        <w:rPr>
          <w:lang w:val="en-CA"/>
        </w:rPr>
        <w:t xml:space="preserve"> two surveys. The first </w:t>
      </w:r>
      <w:r w:rsidR="006F1822">
        <w:rPr>
          <w:lang w:val="en-CA"/>
        </w:rPr>
        <w:t>to</w:t>
      </w:r>
      <w:r>
        <w:rPr>
          <w:lang w:val="en-CA"/>
        </w:rPr>
        <w:t xml:space="preserve"> es</w:t>
      </w:r>
      <w:r w:rsidR="006F1822">
        <w:rPr>
          <w:lang w:val="en-CA"/>
        </w:rPr>
        <w:t>tablish a baseline of knowledge, and the</w:t>
      </w:r>
      <w:r>
        <w:t xml:space="preserve"> second </w:t>
      </w:r>
      <w:r w:rsidR="006F1822">
        <w:t xml:space="preserve">to </w:t>
      </w:r>
      <w:r>
        <w:t xml:space="preserve">assess progress.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EB8"/>
    <w:multiLevelType w:val="hybridMultilevel"/>
    <w:tmpl w:val="B2D65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8593560"/>
    <w:multiLevelType w:val="hybridMultilevel"/>
    <w:tmpl w:val="D5D83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B764DD"/>
    <w:multiLevelType w:val="hybridMultilevel"/>
    <w:tmpl w:val="E09A0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4F33D5"/>
    <w:multiLevelType w:val="hybridMultilevel"/>
    <w:tmpl w:val="7BCCD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04265C"/>
    <w:multiLevelType w:val="hybridMultilevel"/>
    <w:tmpl w:val="E8E403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C862C7"/>
    <w:multiLevelType w:val="hybridMultilevel"/>
    <w:tmpl w:val="DC88FD5C"/>
    <w:lvl w:ilvl="0" w:tplc="6DF0EDA2">
      <w:start w:val="1"/>
      <w:numFmt w:val="decimal"/>
      <w:lvlText w:val="%1."/>
      <w:lvlJc w:val="left"/>
      <w:pPr>
        <w:ind w:left="720" w:hanging="36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28A75A9B"/>
    <w:multiLevelType w:val="hybridMultilevel"/>
    <w:tmpl w:val="685E5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D643CD"/>
    <w:multiLevelType w:val="hybridMultilevel"/>
    <w:tmpl w:val="6F86F416"/>
    <w:lvl w:ilvl="0" w:tplc="866A39B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1442D8"/>
    <w:multiLevelType w:val="hybridMultilevel"/>
    <w:tmpl w:val="35A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07151D"/>
    <w:multiLevelType w:val="hybridMultilevel"/>
    <w:tmpl w:val="523C3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7C4703"/>
    <w:multiLevelType w:val="hybridMultilevel"/>
    <w:tmpl w:val="49FA745C"/>
    <w:lvl w:ilvl="0" w:tplc="7166D34A">
      <w:start w:val="1"/>
      <w:numFmt w:val="decimal"/>
      <w:lvlText w:val="Output %1."/>
      <w:lvlJc w:val="left"/>
      <w:pPr>
        <w:ind w:left="1701" w:hanging="1341"/>
      </w:pPr>
      <w:rPr>
        <w:rFonts w:hint="default"/>
        <w:b/>
        <w:i w:val="0"/>
      </w:rPr>
    </w:lvl>
    <w:lvl w:ilvl="1" w:tplc="091A9A64">
      <w:start w:val="1"/>
      <w:numFmt w:val="upperLetter"/>
      <w:lvlText w:val="Activity %2."/>
      <w:lvlJc w:val="left"/>
      <w:pPr>
        <w:ind w:left="2268" w:hanging="1191"/>
      </w:pPr>
      <w:rPr>
        <w:rFonts w:hint="default"/>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1235F1"/>
    <w:multiLevelType w:val="hybridMultilevel"/>
    <w:tmpl w:val="A224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C75A6"/>
    <w:multiLevelType w:val="hybridMultilevel"/>
    <w:tmpl w:val="7CEE3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9C7A07"/>
    <w:multiLevelType w:val="hybridMultilevel"/>
    <w:tmpl w:val="461CF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286334"/>
    <w:multiLevelType w:val="hybridMultilevel"/>
    <w:tmpl w:val="1CE4E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EF2210"/>
    <w:multiLevelType w:val="hybridMultilevel"/>
    <w:tmpl w:val="D4685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C96599"/>
    <w:multiLevelType w:val="hybridMultilevel"/>
    <w:tmpl w:val="EC40F2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A92351"/>
    <w:multiLevelType w:val="hybridMultilevel"/>
    <w:tmpl w:val="54CC85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9C185B"/>
    <w:multiLevelType w:val="hybridMultilevel"/>
    <w:tmpl w:val="3E72FE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7A4C24"/>
    <w:multiLevelType w:val="hybridMultilevel"/>
    <w:tmpl w:val="76D09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F03FEA"/>
    <w:multiLevelType w:val="hybridMultilevel"/>
    <w:tmpl w:val="6C58C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215152"/>
    <w:multiLevelType w:val="hybridMultilevel"/>
    <w:tmpl w:val="44C6BC00"/>
    <w:lvl w:ilvl="0" w:tplc="E53CEEA2">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7B0C30"/>
    <w:multiLevelType w:val="hybridMultilevel"/>
    <w:tmpl w:val="D3505DC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9F4605"/>
    <w:multiLevelType w:val="hybridMultilevel"/>
    <w:tmpl w:val="EAE63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5F25AE"/>
    <w:multiLevelType w:val="hybridMultilevel"/>
    <w:tmpl w:val="7554A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814660"/>
    <w:multiLevelType w:val="hybridMultilevel"/>
    <w:tmpl w:val="3502D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EF6FEF"/>
    <w:multiLevelType w:val="hybridMultilevel"/>
    <w:tmpl w:val="4754B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F80DDC"/>
    <w:multiLevelType w:val="hybridMultilevel"/>
    <w:tmpl w:val="EBACAE5E"/>
    <w:lvl w:ilvl="0" w:tplc="866A39BE">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B49230A"/>
    <w:multiLevelType w:val="hybridMultilevel"/>
    <w:tmpl w:val="CBCE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5145F3"/>
    <w:multiLevelType w:val="hybridMultilevel"/>
    <w:tmpl w:val="8C50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04941"/>
    <w:multiLevelType w:val="hybridMultilevel"/>
    <w:tmpl w:val="AE9C2F86"/>
    <w:lvl w:ilvl="0" w:tplc="ABE8719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num>
  <w:num w:numId="2">
    <w:abstractNumId w:val="1"/>
  </w:num>
  <w:num w:numId="3">
    <w:abstractNumId w:val="30"/>
  </w:num>
  <w:num w:numId="4">
    <w:abstractNumId w:val="11"/>
  </w:num>
  <w:num w:numId="5">
    <w:abstractNumId w:val="6"/>
  </w:num>
  <w:num w:numId="6">
    <w:abstractNumId w:val="23"/>
  </w:num>
  <w:num w:numId="7">
    <w:abstractNumId w:val="21"/>
  </w:num>
  <w:num w:numId="8">
    <w:abstractNumId w:val="4"/>
  </w:num>
  <w:num w:numId="9">
    <w:abstractNumId w:val="22"/>
  </w:num>
  <w:num w:numId="10">
    <w:abstractNumId w:val="7"/>
  </w:num>
  <w:num w:numId="11">
    <w:abstractNumId w:val="2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20"/>
  </w:num>
  <w:num w:numId="16">
    <w:abstractNumId w:val="2"/>
  </w:num>
  <w:num w:numId="17">
    <w:abstractNumId w:val="8"/>
  </w:num>
  <w:num w:numId="18">
    <w:abstractNumId w:val="18"/>
  </w:num>
  <w:num w:numId="19">
    <w:abstractNumId w:val="10"/>
  </w:num>
  <w:num w:numId="20">
    <w:abstractNumId w:val="13"/>
  </w:num>
  <w:num w:numId="21">
    <w:abstractNumId w:val="3"/>
  </w:num>
  <w:num w:numId="22">
    <w:abstractNumId w:val="26"/>
  </w:num>
  <w:num w:numId="23">
    <w:abstractNumId w:val="29"/>
  </w:num>
  <w:num w:numId="24">
    <w:abstractNumId w:val="9"/>
  </w:num>
  <w:num w:numId="25">
    <w:abstractNumId w:val="0"/>
  </w:num>
  <w:num w:numId="26">
    <w:abstractNumId w:val="17"/>
  </w:num>
  <w:num w:numId="27">
    <w:abstractNumId w:val="24"/>
  </w:num>
  <w:num w:numId="28">
    <w:abstractNumId w:val="28"/>
  </w:num>
  <w:num w:numId="29">
    <w:abstractNumId w:val="16"/>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C7"/>
    <w:rsid w:val="00003A96"/>
    <w:rsid w:val="00004572"/>
    <w:rsid w:val="00005596"/>
    <w:rsid w:val="00005601"/>
    <w:rsid w:val="0002104E"/>
    <w:rsid w:val="00045D3D"/>
    <w:rsid w:val="0007040F"/>
    <w:rsid w:val="00086E01"/>
    <w:rsid w:val="000C6352"/>
    <w:rsid w:val="000E4943"/>
    <w:rsid w:val="0011763B"/>
    <w:rsid w:val="001230DD"/>
    <w:rsid w:val="00125144"/>
    <w:rsid w:val="001251FE"/>
    <w:rsid w:val="001265D6"/>
    <w:rsid w:val="0014578C"/>
    <w:rsid w:val="0015165E"/>
    <w:rsid w:val="001621FB"/>
    <w:rsid w:val="00171B08"/>
    <w:rsid w:val="001731A0"/>
    <w:rsid w:val="0018235A"/>
    <w:rsid w:val="00183FB2"/>
    <w:rsid w:val="001848A0"/>
    <w:rsid w:val="00185521"/>
    <w:rsid w:val="00190199"/>
    <w:rsid w:val="00197A3F"/>
    <w:rsid w:val="001A2320"/>
    <w:rsid w:val="001A5A97"/>
    <w:rsid w:val="001B5479"/>
    <w:rsid w:val="001D1D67"/>
    <w:rsid w:val="001E6973"/>
    <w:rsid w:val="001F1F64"/>
    <w:rsid w:val="001F54E0"/>
    <w:rsid w:val="00215828"/>
    <w:rsid w:val="00215CB6"/>
    <w:rsid w:val="0022111D"/>
    <w:rsid w:val="002218CC"/>
    <w:rsid w:val="002470F4"/>
    <w:rsid w:val="00260684"/>
    <w:rsid w:val="00265712"/>
    <w:rsid w:val="00267DD0"/>
    <w:rsid w:val="0027179D"/>
    <w:rsid w:val="002765DD"/>
    <w:rsid w:val="0028238F"/>
    <w:rsid w:val="0029031F"/>
    <w:rsid w:val="002A6FB9"/>
    <w:rsid w:val="002C7FB5"/>
    <w:rsid w:val="002F1C84"/>
    <w:rsid w:val="00300346"/>
    <w:rsid w:val="003144B3"/>
    <w:rsid w:val="00314BAD"/>
    <w:rsid w:val="00326753"/>
    <w:rsid w:val="0033187D"/>
    <w:rsid w:val="00336A79"/>
    <w:rsid w:val="003509A6"/>
    <w:rsid w:val="00355ADB"/>
    <w:rsid w:val="003563F8"/>
    <w:rsid w:val="003A7A5E"/>
    <w:rsid w:val="003B58EF"/>
    <w:rsid w:val="003C68E5"/>
    <w:rsid w:val="003F3EB7"/>
    <w:rsid w:val="003F6899"/>
    <w:rsid w:val="003F6AF6"/>
    <w:rsid w:val="0040071B"/>
    <w:rsid w:val="004050C9"/>
    <w:rsid w:val="004076B8"/>
    <w:rsid w:val="00412B33"/>
    <w:rsid w:val="00412E27"/>
    <w:rsid w:val="0041614D"/>
    <w:rsid w:val="00443CF4"/>
    <w:rsid w:val="00454BEF"/>
    <w:rsid w:val="004550BE"/>
    <w:rsid w:val="00467910"/>
    <w:rsid w:val="004805A9"/>
    <w:rsid w:val="00481770"/>
    <w:rsid w:val="004B2AEC"/>
    <w:rsid w:val="004B38FC"/>
    <w:rsid w:val="004B4F40"/>
    <w:rsid w:val="004E545E"/>
    <w:rsid w:val="004E6ACC"/>
    <w:rsid w:val="004F16B7"/>
    <w:rsid w:val="004F5F56"/>
    <w:rsid w:val="0050018C"/>
    <w:rsid w:val="00511828"/>
    <w:rsid w:val="00521EC7"/>
    <w:rsid w:val="00543A0C"/>
    <w:rsid w:val="00555AC7"/>
    <w:rsid w:val="0056654C"/>
    <w:rsid w:val="005711E1"/>
    <w:rsid w:val="00580DA3"/>
    <w:rsid w:val="00580E47"/>
    <w:rsid w:val="00592742"/>
    <w:rsid w:val="00593201"/>
    <w:rsid w:val="005967AB"/>
    <w:rsid w:val="005B2798"/>
    <w:rsid w:val="005B4398"/>
    <w:rsid w:val="005C3385"/>
    <w:rsid w:val="005C7B60"/>
    <w:rsid w:val="005D212E"/>
    <w:rsid w:val="005F2F4A"/>
    <w:rsid w:val="005F443A"/>
    <w:rsid w:val="00603304"/>
    <w:rsid w:val="006175A8"/>
    <w:rsid w:val="00621DD2"/>
    <w:rsid w:val="00624DCB"/>
    <w:rsid w:val="00643502"/>
    <w:rsid w:val="00675321"/>
    <w:rsid w:val="00682B08"/>
    <w:rsid w:val="006A4562"/>
    <w:rsid w:val="006A5911"/>
    <w:rsid w:val="006C41E4"/>
    <w:rsid w:val="006D2503"/>
    <w:rsid w:val="006D3E1B"/>
    <w:rsid w:val="006E6532"/>
    <w:rsid w:val="006F0AE0"/>
    <w:rsid w:val="006F1822"/>
    <w:rsid w:val="00700FBD"/>
    <w:rsid w:val="007265BE"/>
    <w:rsid w:val="007416E1"/>
    <w:rsid w:val="00750D11"/>
    <w:rsid w:val="00780711"/>
    <w:rsid w:val="007C004C"/>
    <w:rsid w:val="007E7A07"/>
    <w:rsid w:val="007F5A18"/>
    <w:rsid w:val="00822F30"/>
    <w:rsid w:val="008273C8"/>
    <w:rsid w:val="00856E8F"/>
    <w:rsid w:val="008857DD"/>
    <w:rsid w:val="00897A21"/>
    <w:rsid w:val="008B32F1"/>
    <w:rsid w:val="008D4EF6"/>
    <w:rsid w:val="00903E3A"/>
    <w:rsid w:val="00917FC6"/>
    <w:rsid w:val="00921D9E"/>
    <w:rsid w:val="00923B50"/>
    <w:rsid w:val="0092510D"/>
    <w:rsid w:val="00936DCE"/>
    <w:rsid w:val="00981243"/>
    <w:rsid w:val="009978AF"/>
    <w:rsid w:val="009A786B"/>
    <w:rsid w:val="009E6DF8"/>
    <w:rsid w:val="00A169FA"/>
    <w:rsid w:val="00A20931"/>
    <w:rsid w:val="00A463C4"/>
    <w:rsid w:val="00A60A33"/>
    <w:rsid w:val="00A6398C"/>
    <w:rsid w:val="00A64D22"/>
    <w:rsid w:val="00A8466E"/>
    <w:rsid w:val="00A871B0"/>
    <w:rsid w:val="00A978D4"/>
    <w:rsid w:val="00AF0C9B"/>
    <w:rsid w:val="00AF134E"/>
    <w:rsid w:val="00B05475"/>
    <w:rsid w:val="00B10601"/>
    <w:rsid w:val="00B52611"/>
    <w:rsid w:val="00B61A57"/>
    <w:rsid w:val="00B70D41"/>
    <w:rsid w:val="00B772A7"/>
    <w:rsid w:val="00B90000"/>
    <w:rsid w:val="00BA5A08"/>
    <w:rsid w:val="00BC1A59"/>
    <w:rsid w:val="00BE1AE4"/>
    <w:rsid w:val="00BF5F6A"/>
    <w:rsid w:val="00C00B3B"/>
    <w:rsid w:val="00C166D6"/>
    <w:rsid w:val="00C403F0"/>
    <w:rsid w:val="00C5435D"/>
    <w:rsid w:val="00C81B35"/>
    <w:rsid w:val="00C8678B"/>
    <w:rsid w:val="00CA093C"/>
    <w:rsid w:val="00CB0273"/>
    <w:rsid w:val="00CB210A"/>
    <w:rsid w:val="00CB4649"/>
    <w:rsid w:val="00CD2939"/>
    <w:rsid w:val="00CD3AB7"/>
    <w:rsid w:val="00CE1408"/>
    <w:rsid w:val="00CE4D88"/>
    <w:rsid w:val="00CE7AA3"/>
    <w:rsid w:val="00CF726D"/>
    <w:rsid w:val="00D2405E"/>
    <w:rsid w:val="00D326C1"/>
    <w:rsid w:val="00D40C4E"/>
    <w:rsid w:val="00D40D63"/>
    <w:rsid w:val="00D7277D"/>
    <w:rsid w:val="00D87DB0"/>
    <w:rsid w:val="00DA3CB1"/>
    <w:rsid w:val="00DA5B76"/>
    <w:rsid w:val="00DB3905"/>
    <w:rsid w:val="00DE48FD"/>
    <w:rsid w:val="00DF161B"/>
    <w:rsid w:val="00DF305A"/>
    <w:rsid w:val="00DF5AC6"/>
    <w:rsid w:val="00DF5FBA"/>
    <w:rsid w:val="00DF6AF7"/>
    <w:rsid w:val="00E02F67"/>
    <w:rsid w:val="00E162DA"/>
    <w:rsid w:val="00E25950"/>
    <w:rsid w:val="00E44235"/>
    <w:rsid w:val="00E54487"/>
    <w:rsid w:val="00E638B6"/>
    <w:rsid w:val="00E654B0"/>
    <w:rsid w:val="00E7582A"/>
    <w:rsid w:val="00E836D5"/>
    <w:rsid w:val="00E9466A"/>
    <w:rsid w:val="00EA6AE3"/>
    <w:rsid w:val="00EA6C07"/>
    <w:rsid w:val="00EA79F4"/>
    <w:rsid w:val="00EB40C9"/>
    <w:rsid w:val="00F033C4"/>
    <w:rsid w:val="00F047BF"/>
    <w:rsid w:val="00F15FFC"/>
    <w:rsid w:val="00F17465"/>
    <w:rsid w:val="00F314FC"/>
    <w:rsid w:val="00F328DA"/>
    <w:rsid w:val="00F358DC"/>
    <w:rsid w:val="00F432AF"/>
    <w:rsid w:val="00F44E47"/>
    <w:rsid w:val="00F6158F"/>
    <w:rsid w:val="00F62000"/>
    <w:rsid w:val="00F636AE"/>
    <w:rsid w:val="00F71517"/>
    <w:rsid w:val="00F83221"/>
    <w:rsid w:val="00F95198"/>
    <w:rsid w:val="00F9571F"/>
    <w:rsid w:val="00FA1939"/>
    <w:rsid w:val="00FA5590"/>
    <w:rsid w:val="00FD36FB"/>
    <w:rsid w:val="00FD6BBC"/>
    <w:rsid w:val="00FF170A"/>
    <w:rsid w:val="00FF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07600"/>
  <w15:chartTrackingRefBased/>
  <w15:docId w15:val="{732D872F-3E3E-4453-8702-5EE3643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C7"/>
    <w:pPr>
      <w:spacing w:before="160" w:after="160" w:line="240" w:lineRule="auto"/>
    </w:pPr>
    <w:rPr>
      <w:rFonts w:ascii="Calibri Light" w:eastAsia="MS Mincho" w:hAnsi="Calibri Light" w:cs="Vrind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555AC7"/>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55AC7"/>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A232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20"/>
    <w:rPr>
      <w:rFonts w:ascii="Segoe UI" w:eastAsia="MS Mincho" w:hAnsi="Segoe UI" w:cs="Segoe UI"/>
      <w:sz w:val="18"/>
      <w:szCs w:val="18"/>
    </w:rPr>
  </w:style>
  <w:style w:type="paragraph" w:styleId="FootnoteText">
    <w:name w:val="footnote text"/>
    <w:basedOn w:val="Normal"/>
    <w:link w:val="FootnoteTextChar"/>
    <w:uiPriority w:val="99"/>
    <w:semiHidden/>
    <w:unhideWhenUsed/>
    <w:rsid w:val="001A2320"/>
    <w:pPr>
      <w:spacing w:before="0" w:after="0"/>
    </w:pPr>
    <w:rPr>
      <w:sz w:val="20"/>
      <w:szCs w:val="20"/>
    </w:rPr>
  </w:style>
  <w:style w:type="character" w:customStyle="1" w:styleId="FootnoteTextChar">
    <w:name w:val="Footnote Text Char"/>
    <w:basedOn w:val="DefaultParagraphFont"/>
    <w:link w:val="FootnoteText"/>
    <w:uiPriority w:val="99"/>
    <w:semiHidden/>
    <w:rsid w:val="001A2320"/>
    <w:rPr>
      <w:rFonts w:ascii="Calibri Light" w:eastAsia="MS Mincho" w:hAnsi="Calibri Light" w:cs="Vrinda"/>
      <w:sz w:val="20"/>
      <w:szCs w:val="20"/>
    </w:rPr>
  </w:style>
  <w:style w:type="character" w:styleId="FootnoteReference">
    <w:name w:val="footnote reference"/>
    <w:basedOn w:val="DefaultParagraphFont"/>
    <w:uiPriority w:val="99"/>
    <w:semiHidden/>
    <w:unhideWhenUsed/>
    <w:rsid w:val="001A2320"/>
    <w:rPr>
      <w:vertAlign w:val="superscript"/>
    </w:rPr>
  </w:style>
  <w:style w:type="character" w:styleId="CommentReference">
    <w:name w:val="annotation reference"/>
    <w:basedOn w:val="DefaultParagraphFont"/>
    <w:uiPriority w:val="99"/>
    <w:semiHidden/>
    <w:unhideWhenUsed/>
    <w:rsid w:val="001A2320"/>
    <w:rPr>
      <w:sz w:val="16"/>
      <w:szCs w:val="16"/>
    </w:rPr>
  </w:style>
  <w:style w:type="paragraph" w:styleId="CommentText">
    <w:name w:val="annotation text"/>
    <w:basedOn w:val="Normal"/>
    <w:link w:val="CommentTextChar"/>
    <w:uiPriority w:val="99"/>
    <w:unhideWhenUsed/>
    <w:rsid w:val="001A2320"/>
    <w:rPr>
      <w:sz w:val="20"/>
      <w:szCs w:val="20"/>
    </w:rPr>
  </w:style>
  <w:style w:type="character" w:customStyle="1" w:styleId="CommentTextChar">
    <w:name w:val="Comment Text Char"/>
    <w:basedOn w:val="DefaultParagraphFont"/>
    <w:link w:val="CommentText"/>
    <w:uiPriority w:val="99"/>
    <w:rsid w:val="001A2320"/>
    <w:rPr>
      <w:rFonts w:ascii="Calibri Light" w:eastAsia="MS Mincho" w:hAnsi="Calibri Light" w:cs="Vrinda"/>
      <w:sz w:val="20"/>
      <w:szCs w:val="20"/>
    </w:rPr>
  </w:style>
  <w:style w:type="paragraph" w:styleId="CommentSubject">
    <w:name w:val="annotation subject"/>
    <w:basedOn w:val="CommentText"/>
    <w:next w:val="CommentText"/>
    <w:link w:val="CommentSubjectChar"/>
    <w:uiPriority w:val="99"/>
    <w:semiHidden/>
    <w:unhideWhenUsed/>
    <w:rsid w:val="001A2320"/>
    <w:rPr>
      <w:b/>
      <w:bCs/>
    </w:rPr>
  </w:style>
  <w:style w:type="character" w:customStyle="1" w:styleId="CommentSubjectChar">
    <w:name w:val="Comment Subject Char"/>
    <w:basedOn w:val="CommentTextChar"/>
    <w:link w:val="CommentSubject"/>
    <w:uiPriority w:val="99"/>
    <w:semiHidden/>
    <w:rsid w:val="001A2320"/>
    <w:rPr>
      <w:rFonts w:ascii="Calibri Light" w:eastAsia="MS Mincho" w:hAnsi="Calibri Light" w:cs="Vrinda"/>
      <w:b/>
      <w:bCs/>
      <w:sz w:val="20"/>
      <w:szCs w:val="20"/>
    </w:rPr>
  </w:style>
  <w:style w:type="character" w:styleId="Hyperlink">
    <w:name w:val="Hyperlink"/>
    <w:basedOn w:val="DefaultParagraphFont"/>
    <w:uiPriority w:val="99"/>
    <w:unhideWhenUsed/>
    <w:rsid w:val="00CE7AA3"/>
    <w:rPr>
      <w:color w:val="0000FF" w:themeColor="hyperlink"/>
      <w:u w:val="single"/>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Liste 1"/>
    <w:basedOn w:val="Normal"/>
    <w:link w:val="ListParagraphChar"/>
    <w:uiPriority w:val="34"/>
    <w:qFormat/>
    <w:rsid w:val="00DB3905"/>
    <w:pPr>
      <w:ind w:left="720"/>
      <w:contextualSpacing/>
    </w:pPr>
  </w:style>
  <w:style w:type="paragraph" w:customStyle="1" w:styleId="Default">
    <w:name w:val="Default"/>
    <w:rsid w:val="007E7A07"/>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5711E1"/>
    <w:pPr>
      <w:tabs>
        <w:tab w:val="center" w:pos="4680"/>
        <w:tab w:val="right" w:pos="9360"/>
      </w:tabs>
      <w:spacing w:before="0" w:after="0"/>
    </w:pPr>
  </w:style>
  <w:style w:type="character" w:customStyle="1" w:styleId="HeaderChar">
    <w:name w:val="Header Char"/>
    <w:basedOn w:val="DefaultParagraphFont"/>
    <w:link w:val="Header"/>
    <w:uiPriority w:val="99"/>
    <w:rsid w:val="005711E1"/>
    <w:rPr>
      <w:rFonts w:ascii="Calibri Light" w:eastAsia="MS Mincho" w:hAnsi="Calibri Light" w:cs="Vrinda"/>
      <w:szCs w:val="24"/>
    </w:rPr>
  </w:style>
  <w:style w:type="paragraph" w:styleId="Footer">
    <w:name w:val="footer"/>
    <w:basedOn w:val="Normal"/>
    <w:link w:val="FooterChar"/>
    <w:uiPriority w:val="99"/>
    <w:unhideWhenUsed/>
    <w:rsid w:val="005711E1"/>
    <w:pPr>
      <w:tabs>
        <w:tab w:val="center" w:pos="4680"/>
        <w:tab w:val="right" w:pos="9360"/>
      </w:tabs>
      <w:spacing w:before="0" w:after="0"/>
    </w:pPr>
  </w:style>
  <w:style w:type="character" w:customStyle="1" w:styleId="FooterChar">
    <w:name w:val="Footer Char"/>
    <w:basedOn w:val="DefaultParagraphFont"/>
    <w:link w:val="Footer"/>
    <w:uiPriority w:val="99"/>
    <w:rsid w:val="005711E1"/>
    <w:rPr>
      <w:rFonts w:ascii="Calibri Light" w:eastAsia="MS Mincho" w:hAnsi="Calibri Light" w:cs="Vrinda"/>
      <w:szCs w:val="24"/>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593201"/>
    <w:rPr>
      <w:rFonts w:ascii="Calibri Light" w:eastAsia="MS Mincho" w:hAnsi="Calibri Light" w:cs="Vrinda"/>
      <w:szCs w:val="24"/>
    </w:rPr>
  </w:style>
  <w:style w:type="character" w:customStyle="1" w:styleId="normaltextrun">
    <w:name w:val="normaltextrun"/>
    <w:basedOn w:val="DefaultParagraphFont"/>
    <w:rsid w:val="00592742"/>
  </w:style>
  <w:style w:type="table" w:styleId="TableGrid">
    <w:name w:val="Table Grid"/>
    <w:basedOn w:val="TableNormal"/>
    <w:uiPriority w:val="59"/>
    <w:rsid w:val="0085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01088">
      <w:bodyDiv w:val="1"/>
      <w:marLeft w:val="0"/>
      <w:marRight w:val="0"/>
      <w:marTop w:val="0"/>
      <w:marBottom w:val="0"/>
      <w:divBdr>
        <w:top w:val="none" w:sz="0" w:space="0" w:color="auto"/>
        <w:left w:val="none" w:sz="0" w:space="0" w:color="auto"/>
        <w:bottom w:val="none" w:sz="0" w:space="0" w:color="auto"/>
        <w:right w:val="none" w:sz="0" w:space="0" w:color="auto"/>
      </w:divBdr>
    </w:div>
    <w:div w:id="1620406713">
      <w:bodyDiv w:val="1"/>
      <w:marLeft w:val="0"/>
      <w:marRight w:val="0"/>
      <w:marTop w:val="0"/>
      <w:marBottom w:val="0"/>
      <w:divBdr>
        <w:top w:val="none" w:sz="0" w:space="0" w:color="auto"/>
        <w:left w:val="none" w:sz="0" w:space="0" w:color="auto"/>
        <w:bottom w:val="none" w:sz="0" w:space="0" w:color="auto"/>
        <w:right w:val="none" w:sz="0" w:space="0" w:color="auto"/>
      </w:divBdr>
    </w:div>
    <w:div w:id="20754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ectivecooperation.org/landing-page/aa-22-triangular-development-co-operation-sustainable-development"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ffectivecooperation.org/content/voluntary-guidelines-effective-triangular-co-oper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F0CB3DD0076BB84D8BA69C33B827F6A7" ma:contentTypeVersion="373" ma:contentTypeDescription="" ma:contentTypeScope="" ma:versionID="73b0d3af4de50800ebe9eeac8d26d1c3">
  <xsd:schema xmlns:xsd="http://www.w3.org/2001/XMLSchema" xmlns:xs="http://www.w3.org/2001/XMLSchema" xmlns:p="http://schemas.microsoft.com/office/2006/metadata/properties" xmlns:ns1="54c4cd27-f286-408f-9ce0-33c1e0f3ab39" xmlns:ns2="3e8be076-f08f-4743-861f-4e327af0d5b9" xmlns:ns3="bac24aee-c3c6-421c-80f4-4b66ef3c1524" xmlns:ns4="http://schemas.microsoft.com/sharepoint/v3" xmlns:ns5="c9f238dd-bb73-4aef-a7a5-d644ad823e52" xmlns:ns6="ca82dde9-3436-4d3d-bddd-d31447390034" xmlns:ns7="http://schemas.microsoft.com/sharepoint/v4" targetNamespace="http://schemas.microsoft.com/office/2006/metadata/properties" ma:root="true" ma:fieldsID="2faa654ce5465f440d12af4f2bc190b4" ns1:_="" ns2:_="" ns3:_="" ns4:_="" ns5:_="" ns6:_="" ns7:_="">
    <xsd:import namespace="54c4cd27-f286-408f-9ce0-33c1e0f3ab39"/>
    <xsd:import namespace="3e8be076-f08f-4743-861f-4e327af0d5b9"/>
    <xsd:import namespace="bac24aee-c3c6-421c-80f4-4b66ef3c1524"/>
    <xsd:import namespace="http://schemas.microsoft.com/sharepoint/v3"/>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OECDlanguage" minOccurs="0"/>
                <xsd:element ref="ns7:IconOverlay" minOccurs="0"/>
                <xsd:element ref="ns6:TaxCatchAllLabel" minOccurs="0"/>
                <xsd:element ref="ns3:ae36a3ffbc694c3abe07f98ac039f7fd" minOccurs="0"/>
                <xsd:element ref="ns3:la7711aa934748bb87e5f2c63fedaa50" minOccurs="0"/>
                <xsd:element ref="ns6:TaxCatchAll" minOccurs="0"/>
                <xsd:element ref="ns1:OECDMeetingDate" minOccurs="0"/>
                <xsd:element ref="ns2:gb49509ed4b547c3a776a54197a04d05" minOccurs="0"/>
                <xsd:element ref="ns3:ib47e70ad3914e2a95ae7a85fde5d52a" minOccurs="0"/>
                <xsd:element ref="ns4:DocumentSetDescription"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5"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8be076-f08f-4743-861f-4e327af0d5b9"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gb49509ed4b547c3a776a54197a04d05" ma:index="36" nillable="true" ma:taxonomy="true" ma:internalName="gb49509ed4b547c3a776a54197a04d05" ma:taxonomyFieldName="OECDHorizontalProjects" ma:displayName="Horizontal project" ma:readOnly="false" ma:default="" ma:fieldId="{0b49509e-d4b5-47c3-a776-a54197a04d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3" nillable="true" ma:displayName="OECDHorizontalProjects_0" ma:description="" ma:hidden="true" ma:internalName="eShareHorizProjTaxHTField0">
      <xsd:simpleType>
        <xsd:restriction base="dms:Note"/>
      </xsd:simpleType>
    </xsd:element>
    <xsd:element name="OECDAllRelatedUsers" ma:index="46"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c24aee-c3c6-421c-80f4-4b66ef3c1524"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d7c62838-b964-49db-983e-a9b6b18df504" ma:internalName="OECDProjectLookup" ma:readOnly="false" ma:showField="OECDShortProjectName" ma:web="bac24aee-c3c6-421c-80f4-4b66ef3c1524">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d7c62838-b964-49db-983e-a9b6b18df50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d7c62838-b964-49db-983e-a9b6b18df504" ma:internalName="Project_x003A_Project_x0020_status" ma:readOnly="true" ma:showField="OECDProjectStatus" ma:web="bac24aee-c3c6-421c-80f4-4b66ef3c1524">
      <xsd:simpleType>
        <xsd:restriction base="dms:Lookup"/>
      </xsd:simpleType>
    </xsd:element>
    <xsd:element name="ae36a3ffbc694c3abe07f98ac039f7fd" ma:index="31" nillable="true" ma:displayName="Deliverable partners_0" ma:hidden="true" ma:internalName="ae36a3ffbc694c3abe07f98ac039f7fd">
      <xsd:simpleType>
        <xsd:restriction base="dms:Note"/>
      </xsd:simpleType>
    </xsd:element>
    <xsd:element name="la7711aa934748bb87e5f2c63fedaa50" ma:index="32" nillable="true" ma:displayName="Deliverable owner_0" ma:hidden="true" ma:internalName="la7711aa934748bb87e5f2c63fedaa50">
      <xsd:simpleType>
        <xsd:restriction base="dms:Note"/>
      </xsd:simpleType>
    </xsd:element>
    <xsd:element name="ib47e70ad3914e2a95ae7a85fde5d52a" ma:index="37" nillable="true" ma:taxonomy="true" ma:internalName="ib47e70ad3914e2a95ae7a85fde5d52a" ma:taxonomyFieldName="OECDProjectOwnerStructure" ma:displayName="Project owner" ma:readOnly="false" ma:default="" ma:fieldId="2b47e70a-d391-4e2a-95ae-7a85fde5d52a"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0" nillable="true" ma:displayName="O.N.E Document Sharing Status" ma:description="" ma:hidden="true" ma:internalName="OECDSharingStatus">
      <xsd:simpleType>
        <xsd:restriction base="dms:Text"/>
      </xsd:simpleType>
    </xsd:element>
    <xsd:element name="OECDCommunityDocumentURL" ma:index="41" nillable="true" ma:displayName="O.N.E Community Document URL" ma:description="" ma:hidden="true" ma:internalName="OECDCommunityDocumentURL">
      <xsd:simpleType>
        <xsd:restriction base="dms:Text"/>
      </xsd:simpleType>
    </xsd:element>
    <xsd:element name="OECDCommunityDocumentID" ma:index="42" nillable="true" ma:displayName="O.N.E Community Document ID" ma:decimals="0" ma:description="" ma:hidden="true" ma:internalName="OECDCommunityDocumentID">
      <xsd:simpleType>
        <xsd:restriction base="dms:Number"/>
      </xsd:simpleType>
    </xsd:element>
    <xsd:element name="OECDTagsCache" ma:index="45" nillable="true" ma:displayName="Tags cache" ma:description="" ma:hidden="true" ma:internalName="OECDTagsCache">
      <xsd:simpleType>
        <xsd:restriction base="dms:Note"/>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9"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26"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0" nillable="true" ma:displayName="Taxonomy Catch All Column1" ma:hidden="true" ma:list="{362277b6-0334-4fe8-bf9a-6a5dba1ba3c3}" ma:internalName="TaxCatchAllLabel" ma:readOnly="true" ma:showField="CatchAllDataLabel" ma:web="3e8be076-f08f-4743-861f-4e327af0d5b9">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362277b6-0334-4fe8-bf9a-6a5dba1ba3c3}" ma:internalName="TaxCatchAll" ma:showField="CatchAllData" ma:web="3e8be076-f08f-4743-861f-4e327af0d5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p:properties xmlns:p="http://schemas.microsoft.com/office/2006/metadata/properties" xmlns:xsi="http://www.w3.org/2001/XMLSchema-instance" xmlns:pc="http://schemas.microsoft.com/office/infopath/2007/PartnerControls">
  <documentManagement>
    <OECDPinnedBy xmlns="bac24aee-c3c6-421c-80f4-4b66ef3c1524">
      <UserInfo>
        <DisplayName/>
        <AccountId xsi:nil="true"/>
        <AccountType/>
      </UserInfo>
    </OECDPinnedBy>
    <la7711aa934748bb87e5f2c63fedaa50 xmlns="bac24aee-c3c6-421c-80f4-4b66ef3c1524" xsi:nil="true"/>
    <OECDKimProvenance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5.1 Development</TermName>
          <TermId xmlns="http://schemas.microsoft.com/office/infopath/2007/PartnerControls">b644f622-75bd-4da2-82c1-9073fbfabe96</TermId>
        </TermInfo>
      </Terms>
    </eSharePWBTaxHTField0>
    <OECDSharingStatus xmlns="bac24aee-c3c6-421c-80f4-4b66ef3c1524" xsi:nil="true"/>
    <DocumentSetDescription xmlns="http://schemas.microsoft.com/sharepoint/v3" xsi:nil="true"/>
    <OECDMeetingDate xmlns="54c4cd27-f286-408f-9ce0-33c1e0f3ab39" xsi:nil="true"/>
    <eShareHorizProjTaxHTField0 xmlns="3e8be076-f08f-4743-861f-4e327af0d5b9" xsi:nil="true"/>
    <TaxCatchAll xmlns="ca82dde9-3436-4d3d-bddd-d31447390034">
      <Value>1077</Value>
      <Value>775</Value>
      <Value>170</Value>
      <Value>134</Value>
    </TaxCatchAll>
    <OECDCommunityDocumentURL xmlns="bac24aee-c3c6-421c-80f4-4b66ef3c1524" xsi:nil="true"/>
    <eShareKeywordsTaxHTField0 xmlns="c9f238dd-bb73-4aef-a7a5-d644ad823e52">
      <Terms xmlns="http://schemas.microsoft.com/office/infopath/2007/PartnerControls">
        <TermInfo xmlns="http://schemas.microsoft.com/office/infopath/2007/PartnerControls">
          <TermName xmlns="http://schemas.microsoft.com/office/infopath/2007/PartnerControls">Global Partnership for Effective Development Co-operation</TermName>
          <TermId xmlns="http://schemas.microsoft.com/office/infopath/2007/PartnerControls">23d47191-1e4e-4299-91b8-0b860a30d691</TermId>
        </TermInfo>
      </Terms>
    </eShareKeywordsTaxHTField0>
    <OECDKimBussinessContext xmlns="54c4cd27-f286-408f-9ce0-33c1e0f3ab39" xsi:nil="true"/>
    <OECDMainProject xmlns="bac24aee-c3c6-421c-80f4-4b66ef3c1524" xsi:nil="true"/>
    <OECDKimStatus xmlns="54c4cd27-f286-408f-9ce0-33c1e0f3ab39">Draft</OECDKimStatus>
    <ae36a3ffbc694c3abe07f98ac039f7fd xmlns="bac24aee-c3c6-421c-80f4-4b66ef3c1524" xsi:nil="true"/>
    <OECDCommunityDocumentID xmlns="bac24aee-c3c6-421c-80f4-4b66ef3c1524" xsi:nil="true"/>
    <eShareCommitteeTaxHTField0 xmlns="c9f238dd-bb73-4aef-a7a5-d644ad823e52">
      <Terms xmlns="http://schemas.microsoft.com/office/infopath/2007/PartnerControls"/>
    </eShareCommitteeTaxHTField0>
    <OECDTagsCache xmlns="bac24aee-c3c6-421c-80f4-4b66ef3c1524" xsi:nil="true"/>
    <IconOverlay xmlns="http://schemas.microsoft.com/sharepoint/v4" xsi:nil="true"/>
    <OECDExpirationDate xmlns="3e8be076-f08f-4743-861f-4e327af0d5b9" xsi:nil="true"/>
    <gb49509ed4b547c3a776a54197a04d05 xmlns="3e8be076-f08f-4743-861f-4e327af0d5b9">
      <Terms xmlns="http://schemas.microsoft.com/office/infopath/2007/PartnerControls"/>
    </gb49509ed4b547c3a776a54197a04d05>
    <ib47e70ad3914e2a95ae7a85fde5d52a xmlns="bac24aee-c3c6-421c-80f4-4b66ef3c1524">
      <Terms xmlns="http://schemas.microsoft.com/office/infopath/2007/PartnerControls">
        <TermInfo xmlns="http://schemas.microsoft.com/office/infopath/2007/PartnerControls">
          <TermName xmlns="http://schemas.microsoft.com/office/infopath/2007/PartnerControls">DCD/GPP</TermName>
          <TermId xmlns="http://schemas.microsoft.com/office/infopath/2007/PartnerControls">1fa5e7ec-4e3d-4c84-a9d4-477c33cb8a7b</TermId>
        </TermInfo>
      </Terms>
    </ib47e70ad3914e2a95ae7a85fde5d52a>
    <OECDlanguage xmlns="ca82dde9-3436-4d3d-bddd-d31447390034">English</OECDlanguage>
    <OECDAllRelatedUsers xmlns="3e8be076-f08f-4743-861f-4e327af0d5b9">
      <UserInfo>
        <DisplayName/>
        <AccountId xsi:nil="true"/>
        <AccountType/>
      </UserInfo>
    </OECDAllRelatedUsers>
    <OECDProjectMembers xmlns="bac24aee-c3c6-421c-80f4-4b66ef3c1524">
      <UserInfo>
        <DisplayName>DUQUE FIGUEIRA Rafael, DCD/GPP</DisplayName>
        <AccountId>865</AccountId>
        <AccountType/>
      </UserInfo>
      <UserInfo>
        <DisplayName>RANTALAINEN Susan, DCD/GPP</DisplayName>
        <AccountId>1693</AccountId>
        <AccountType/>
      </UserInfo>
      <UserInfo>
        <DisplayName>CESCA Cibele, DCD/GPP</DisplayName>
        <AccountId>628</AccountId>
        <AccountType/>
      </UserInfo>
      <UserInfo>
        <DisplayName>BAUSCH Jonas, DCD/GPP</DisplayName>
        <AccountId>2422</AccountId>
        <AccountType/>
      </UserInfo>
      <UserInfo>
        <DisplayName>KARNAVAR Anjali, DCD/GPP</DisplayName>
        <AccountId>2743</AccountId>
        <AccountType/>
      </UserInfo>
      <UserInfo>
        <DisplayName>ORRU Valentina, DCD/GPP</DisplayName>
        <AccountId>970</AccountId>
        <AccountType/>
      </UserInfo>
      <UserInfo>
        <DisplayName>PALMER Ashley, DCD/GPP</DisplayName>
        <AccountId>2941</AccountId>
        <AccountType/>
      </UserInfo>
      <UserInfo>
        <DisplayName>BOEHLER Thomas, DCD/GPP</DisplayName>
        <AccountId>1042</AccountId>
        <AccountType/>
      </UserInfo>
    </OECDProjectMembers>
    <eShareTopicTaxHTField0 xmlns="c9f238dd-bb73-4aef-a7a5-d644ad823e52">
      <Terms xmlns="http://schemas.microsoft.com/office/infopath/2007/PartnerControls">
        <TermInfo xmlns="http://schemas.microsoft.com/office/infopath/2007/PartnerControls">
          <TermName xmlns="http://schemas.microsoft.com/office/infopath/2007/PartnerControls">Development co-operation</TermName>
          <TermId xmlns="http://schemas.microsoft.com/office/infopath/2007/PartnerControls">838733ca-3f54-49b8-8e91-67307ccb8cf5</TermId>
        </TermInfo>
      </Terms>
    </eShareTopicTaxHTField0>
    <OECDProjectManager xmlns="bac24aee-c3c6-421c-80f4-4b66ef3c1524">
      <UserInfo>
        <DisplayName/>
        <AccountId>204</AccountId>
        <AccountType/>
      </UserInfo>
    </OECDProjectManager>
    <eShareCountryTaxHTField0 xmlns="c9f238dd-bb73-4aef-a7a5-d644ad823e52">
      <Terms xmlns="http://schemas.microsoft.com/office/infopath/2007/PartnerControls"/>
    </eShareCountryTaxHTField0>
    <OECDProjectLookup xmlns="bac24aee-c3c6-421c-80f4-4b66ef3c1524">102</OECDProjectLookup>
  </documentManagement>
</p:properties>
</file>

<file path=customXml/itemProps1.xml><?xml version="1.0" encoding="utf-8"?>
<ds:datastoreItem xmlns:ds="http://schemas.openxmlformats.org/officeDocument/2006/customXml" ds:itemID="{24A418F6-D156-459F-8ED9-9EAE1F56D715}">
  <ds:schemaRefs>
    <ds:schemaRef ds:uri="http://schemas.openxmlformats.org/officeDocument/2006/bibliography"/>
  </ds:schemaRefs>
</ds:datastoreItem>
</file>

<file path=customXml/itemProps2.xml><?xml version="1.0" encoding="utf-8"?>
<ds:datastoreItem xmlns:ds="http://schemas.openxmlformats.org/officeDocument/2006/customXml" ds:itemID="{6D7B9F18-38D7-4D62-9AD5-0CBDCD95668B}"/>
</file>

<file path=customXml/itemProps3.xml><?xml version="1.0" encoding="utf-8"?>
<ds:datastoreItem xmlns:ds="http://schemas.openxmlformats.org/officeDocument/2006/customXml" ds:itemID="{0D36C08B-FD74-4E05-A5E2-8F38732F0647}"/>
</file>

<file path=customXml/itemProps4.xml><?xml version="1.0" encoding="utf-8"?>
<ds:datastoreItem xmlns:ds="http://schemas.openxmlformats.org/officeDocument/2006/customXml" ds:itemID="{D2B7334F-D704-46A2-9F94-2E565F42835C}"/>
</file>

<file path=customXml/itemProps5.xml><?xml version="1.0" encoding="utf-8"?>
<ds:datastoreItem xmlns:ds="http://schemas.openxmlformats.org/officeDocument/2006/customXml" ds:itemID="{D26653BF-7639-4B32-AA30-B1C950D3EE06}"/>
</file>

<file path=customXml/itemProps6.xml><?xml version="1.0" encoding="utf-8"?>
<ds:datastoreItem xmlns:ds="http://schemas.openxmlformats.org/officeDocument/2006/customXml" ds:itemID="{75908281-BC7C-4164-9B3B-3C47C927FFFC}"/>
</file>

<file path=docProps/app.xml><?xml version="1.0" encoding="utf-8"?>
<Properties xmlns="http://schemas.openxmlformats.org/officeDocument/2006/extended-properties" xmlns:vt="http://schemas.openxmlformats.org/officeDocument/2006/docPropsVTypes">
  <Template>Normal.dotm</Template>
  <TotalTime>119</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BOEHLER Thomas, DCD/GPP</dc:creator>
  <cp:keywords/>
  <dc:description/>
  <cp:lastModifiedBy>Oliveira, Sasha -PVS</cp:lastModifiedBy>
  <cp:revision>25</cp:revision>
  <cp:lastPrinted>2020-03-09T15:12:00Z</cp:lastPrinted>
  <dcterms:created xsi:type="dcterms:W3CDTF">2020-07-16T14:56:00Z</dcterms:created>
  <dcterms:modified xsi:type="dcterms:W3CDTF">2020-07-20T13:50:00Z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170;#Development co-operation|838733ca-3f54-49b8-8e91-67307ccb8cf5</vt:lpwstr>
  </property>
  <property fmtid="{D5CDD505-2E9C-101B-9397-08002B2CF9AE}" pid="3" name="OECDCommittee">
    <vt:lpwstr/>
  </property>
  <property fmtid="{D5CDD505-2E9C-101B-9397-08002B2CF9AE}" pid="4" name="ContentTypeId">
    <vt:lpwstr>0x0101008B4DD370EC31429186F3AD49F0D3098F00D44DBCB9EB4F45278CB5C9765BE5299500A4858B360C6A491AA753F8BCA47AA91000F0CB3DD0076BB84D8BA69C33B827F6A7</vt:lpwstr>
  </property>
  <property fmtid="{D5CDD505-2E9C-101B-9397-08002B2CF9AE}" pid="5" name="OECDPWB">
    <vt:lpwstr>1077;#5.1 Development|b644f622-75bd-4da2-82c1-9073fbfabe96</vt:lpwstr>
  </property>
  <property fmtid="{D5CDD505-2E9C-101B-9397-08002B2CF9AE}" pid="6" name="eShareOrganisationTaxHTField0">
    <vt:lpwstr/>
  </property>
  <property fmtid="{D5CDD505-2E9C-101B-9397-08002B2CF9AE}" pid="7" name="OECDKeywords">
    <vt:lpwstr>775;#Global Partnership for Effective Development Co-operation|23d47191-1e4e-4299-91b8-0b860a30d691</vt:lpwstr>
  </property>
  <property fmtid="{D5CDD505-2E9C-101B-9397-08002B2CF9AE}" pid="8" name="OECDHorizontalProjects">
    <vt:lpwstr/>
  </property>
  <property fmtid="{D5CDD505-2E9C-101B-9397-08002B2CF9AE}" pid="9" name="d0b6f6ac229144c2899590f0436d9385">
    <vt:lpwstr/>
  </property>
  <property fmtid="{D5CDD505-2E9C-101B-9397-08002B2CF9AE}" pid="10" name="OECDProject">
    <vt:lpwstr/>
  </property>
  <property fmtid="{D5CDD505-2E9C-101B-9397-08002B2CF9AE}" pid="11" name="OECDProjectOwnerStructure">
    <vt:lpwstr>134;#DCD/GPP|1fa5e7ec-4e3d-4c84-a9d4-477c33cb8a7b</vt:lpwstr>
  </property>
  <property fmtid="{D5CDD505-2E9C-101B-9397-08002B2CF9AE}" pid="12" name="OECDOrganisation">
    <vt:lpwstr/>
  </property>
  <property fmtid="{D5CDD505-2E9C-101B-9397-08002B2CF9AE}" pid="13" name="OECDCountry">
    <vt:lpwstr/>
  </property>
</Properties>
</file>